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06FA3" w14:textId="6E367984" w:rsidR="00220D3F" w:rsidRPr="00660431" w:rsidRDefault="00220D3F" w:rsidP="00220D3F">
      <w:pPr>
        <w:rPr>
          <w:rFonts w:cstheme="minorHAnsi"/>
          <w:b/>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546"/>
      </w:tblGrid>
      <w:tr w:rsidR="00220D3F" w:rsidRPr="00660431" w14:paraId="4C909339" w14:textId="77777777" w:rsidTr="006A52E1">
        <w:tc>
          <w:tcPr>
            <w:tcW w:w="4587" w:type="dxa"/>
          </w:tcPr>
          <w:p w14:paraId="38979662" w14:textId="77777777" w:rsidR="00220D3F" w:rsidRPr="00660431" w:rsidRDefault="00220D3F" w:rsidP="006A52E1">
            <w:pPr>
              <w:spacing w:line="259" w:lineRule="auto"/>
              <w:rPr>
                <w:rFonts w:ascii="Tahoma" w:hAnsi="Tahoma"/>
                <w:b/>
                <w:sz w:val="20"/>
                <w:szCs w:val="20"/>
                <w:lang w:val="en-US"/>
              </w:rPr>
            </w:pPr>
          </w:p>
        </w:tc>
        <w:tc>
          <w:tcPr>
            <w:tcW w:w="4587" w:type="dxa"/>
          </w:tcPr>
          <w:p w14:paraId="2A710319" w14:textId="0CAECD58" w:rsidR="00220D3F" w:rsidRPr="00660431" w:rsidRDefault="00220D3F" w:rsidP="006A52E1">
            <w:pPr>
              <w:spacing w:line="259" w:lineRule="auto"/>
              <w:ind w:left="2160"/>
              <w:jc w:val="right"/>
              <w:rPr>
                <w:rFonts w:cstheme="minorHAnsi"/>
                <w:b/>
                <w:sz w:val="20"/>
                <w:szCs w:val="20"/>
                <w:lang w:val="en-US"/>
              </w:rPr>
            </w:pPr>
            <w:r w:rsidRPr="00660431">
              <w:rPr>
                <w:rFonts w:cstheme="minorHAnsi"/>
                <w:b/>
                <w:sz w:val="20"/>
                <w:szCs w:val="20"/>
                <w:lang w:val="en-US"/>
              </w:rPr>
              <w:t>18 March 2020</w:t>
            </w:r>
          </w:p>
        </w:tc>
      </w:tr>
    </w:tbl>
    <w:p w14:paraId="7EC90D8C" w14:textId="5F122F6B" w:rsidR="00220D3F" w:rsidRPr="00660431" w:rsidRDefault="00220D3F" w:rsidP="00220D3F">
      <w:pPr>
        <w:rPr>
          <w:rFonts w:cstheme="minorHAnsi"/>
          <w:b/>
          <w:sz w:val="20"/>
          <w:szCs w:val="20"/>
          <w:lang w:val="en-US"/>
        </w:rPr>
      </w:pPr>
    </w:p>
    <w:p w14:paraId="667BCAB4" w14:textId="77777777" w:rsidR="001C6236" w:rsidRPr="00CF225F" w:rsidRDefault="001C6236" w:rsidP="001C6236">
      <w:pPr>
        <w:spacing w:after="120"/>
        <w:jc w:val="center"/>
        <w:rPr>
          <w:rFonts w:cstheme="minorHAnsi"/>
          <w:b/>
          <w:szCs w:val="20"/>
          <w:lang w:val="en-US"/>
        </w:rPr>
      </w:pPr>
      <w:r w:rsidRPr="00CF225F">
        <w:rPr>
          <w:rFonts w:cstheme="minorHAnsi"/>
          <w:b/>
          <w:szCs w:val="20"/>
          <w:lang w:val="en-US"/>
        </w:rPr>
        <w:t>SCIENCE IN SPORT PLC</w:t>
      </w:r>
    </w:p>
    <w:p w14:paraId="361C53F4" w14:textId="77777777" w:rsidR="001C6236" w:rsidRPr="00660431" w:rsidRDefault="001C6236" w:rsidP="001C6236">
      <w:pPr>
        <w:spacing w:after="120"/>
        <w:jc w:val="center"/>
        <w:rPr>
          <w:rFonts w:cstheme="minorHAnsi"/>
          <w:sz w:val="20"/>
          <w:szCs w:val="20"/>
          <w:lang w:val="en-US"/>
        </w:rPr>
      </w:pPr>
      <w:r w:rsidRPr="00660431">
        <w:rPr>
          <w:rFonts w:cstheme="minorHAnsi"/>
          <w:sz w:val="20"/>
          <w:szCs w:val="20"/>
          <w:lang w:val="en-US"/>
        </w:rPr>
        <w:t>(“Company” or “Group”)</w:t>
      </w:r>
    </w:p>
    <w:p w14:paraId="77CD7514" w14:textId="77777777" w:rsidR="001C6236" w:rsidRPr="00CF225F" w:rsidRDefault="001C6236" w:rsidP="001C6236">
      <w:pPr>
        <w:pStyle w:val="Body"/>
        <w:widowControl w:val="0"/>
        <w:spacing w:before="120"/>
        <w:jc w:val="center"/>
        <w:rPr>
          <w:rFonts w:asciiTheme="minorHAnsi" w:hAnsiTheme="minorHAnsi" w:cstheme="minorHAnsi"/>
          <w:b/>
          <w:sz w:val="22"/>
          <w:szCs w:val="20"/>
        </w:rPr>
      </w:pPr>
      <w:r w:rsidRPr="00CF225F">
        <w:rPr>
          <w:rFonts w:asciiTheme="minorHAnsi" w:hAnsiTheme="minorHAnsi" w:cstheme="minorHAnsi"/>
          <w:b/>
          <w:sz w:val="22"/>
          <w:szCs w:val="20"/>
        </w:rPr>
        <w:t>Final Results for the Year Ended 31 December 2019</w:t>
      </w:r>
    </w:p>
    <w:p w14:paraId="20117E5F" w14:textId="77777777" w:rsidR="001C6236" w:rsidRPr="00660431" w:rsidRDefault="001C6236" w:rsidP="001C6236">
      <w:pPr>
        <w:rPr>
          <w:rFonts w:ascii="Tahoma" w:hAnsi="Tahoma" w:cs="Tahoma"/>
          <w:sz w:val="20"/>
          <w:szCs w:val="20"/>
          <w:lang w:val="en-US"/>
        </w:rPr>
      </w:pPr>
    </w:p>
    <w:p w14:paraId="5A29D0F6" w14:textId="77777777" w:rsidR="001C6236" w:rsidRPr="00660431" w:rsidRDefault="001C6236" w:rsidP="001C6236">
      <w:pPr>
        <w:jc w:val="both"/>
        <w:rPr>
          <w:rFonts w:cstheme="minorHAnsi"/>
          <w:color w:val="000000"/>
          <w:sz w:val="20"/>
          <w:szCs w:val="20"/>
        </w:rPr>
      </w:pPr>
      <w:r w:rsidRPr="00660431">
        <w:rPr>
          <w:rFonts w:cstheme="minorHAnsi"/>
          <w:b/>
          <w:color w:val="000000"/>
          <w:sz w:val="20"/>
          <w:szCs w:val="20"/>
        </w:rPr>
        <w:t>Science in Sport plc</w:t>
      </w:r>
      <w:r w:rsidRPr="00660431">
        <w:rPr>
          <w:rFonts w:cstheme="minorHAnsi"/>
          <w:color w:val="000000"/>
          <w:sz w:val="20"/>
          <w:szCs w:val="20"/>
        </w:rPr>
        <w:t xml:space="preserve"> (AIM: SIS), the premium performance nutrition company serving elite athletes, sports enthusiasts and the gym lifestyle community, is pleased to announce its </w:t>
      </w:r>
      <w:r>
        <w:rPr>
          <w:rFonts w:cstheme="minorHAnsi"/>
          <w:color w:val="000000"/>
          <w:sz w:val="20"/>
          <w:szCs w:val="20"/>
        </w:rPr>
        <w:t>audited final results for the</w:t>
      </w:r>
      <w:r w:rsidRPr="00660431">
        <w:rPr>
          <w:rFonts w:cstheme="minorHAnsi"/>
          <w:color w:val="000000"/>
          <w:sz w:val="20"/>
          <w:szCs w:val="20"/>
        </w:rPr>
        <w:t xml:space="preserve"> year ended 31 December 2019.</w:t>
      </w:r>
    </w:p>
    <w:p w14:paraId="11424E07" w14:textId="77777777" w:rsidR="001C6236" w:rsidRPr="00660431" w:rsidRDefault="001C6236" w:rsidP="001C6236">
      <w:pPr>
        <w:rPr>
          <w:b/>
          <w:bCs/>
          <w:sz w:val="20"/>
          <w:szCs w:val="20"/>
        </w:rPr>
      </w:pPr>
      <w:r w:rsidRPr="00660431">
        <w:rPr>
          <w:b/>
          <w:bCs/>
          <w:sz w:val="20"/>
          <w:szCs w:val="20"/>
        </w:rPr>
        <w:t>HIGHLIGHTS</w:t>
      </w:r>
    </w:p>
    <w:p w14:paraId="37B82228" w14:textId="77777777" w:rsidR="001C6236" w:rsidRDefault="001C6236" w:rsidP="001C6236">
      <w:pPr>
        <w:pStyle w:val="NoSpacing"/>
        <w:numPr>
          <w:ilvl w:val="0"/>
          <w:numId w:val="1"/>
        </w:numPr>
        <w:jc w:val="both"/>
        <w:rPr>
          <w:rFonts w:cstheme="minorHAnsi"/>
          <w:sz w:val="20"/>
          <w:szCs w:val="20"/>
        </w:rPr>
      </w:pPr>
      <w:r w:rsidRPr="00D07405">
        <w:rPr>
          <w:rFonts w:cstheme="minorHAnsi"/>
          <w:sz w:val="20"/>
          <w:szCs w:val="20"/>
        </w:rPr>
        <w:t>A 23% increase in Group revenue to £50.6m (2018: pro forma</w:t>
      </w:r>
      <w:r w:rsidRPr="00D07405">
        <w:rPr>
          <w:rFonts w:cstheme="minorHAnsi"/>
          <w:sz w:val="20"/>
          <w:szCs w:val="20"/>
          <w:vertAlign w:val="superscript"/>
        </w:rPr>
        <w:t>1</w:t>
      </w:r>
      <w:r w:rsidRPr="00D07405">
        <w:rPr>
          <w:rFonts w:cstheme="minorHAnsi"/>
          <w:sz w:val="20"/>
          <w:szCs w:val="20"/>
        </w:rPr>
        <w:t xml:space="preserve"> £41.0m, reported £21.3m), reflecting the first full year contribution of PhD and strong organic growth by both brands. PhD delivered record revenue growth of 23% (pro forma</w:t>
      </w:r>
      <w:r w:rsidRPr="00D07405">
        <w:rPr>
          <w:rFonts w:cstheme="minorHAnsi"/>
          <w:sz w:val="20"/>
          <w:szCs w:val="20"/>
          <w:vertAlign w:val="superscript"/>
        </w:rPr>
        <w:t>1</w:t>
      </w:r>
      <w:r w:rsidRPr="00D07405">
        <w:rPr>
          <w:rFonts w:cstheme="minorHAnsi"/>
          <w:sz w:val="20"/>
          <w:szCs w:val="20"/>
        </w:rPr>
        <w:t>), and the SiS brand delivered 24% revenue growth contributing to a 6-year 25% revenue Compound Annual Growth Rate (“CAGR”);</w:t>
      </w:r>
    </w:p>
    <w:p w14:paraId="2E033A8A" w14:textId="77777777" w:rsidR="001C6236" w:rsidRDefault="001C6236" w:rsidP="001C6236">
      <w:pPr>
        <w:pStyle w:val="NoSpacing"/>
        <w:jc w:val="both"/>
        <w:rPr>
          <w:rFonts w:cstheme="minorHAnsi"/>
          <w:sz w:val="20"/>
          <w:szCs w:val="20"/>
        </w:rPr>
      </w:pPr>
    </w:p>
    <w:p w14:paraId="4CE98A16" w14:textId="77777777" w:rsidR="001C6236" w:rsidRPr="00D07405" w:rsidRDefault="001C6236" w:rsidP="001C6236">
      <w:pPr>
        <w:pStyle w:val="NoSpacing"/>
        <w:numPr>
          <w:ilvl w:val="0"/>
          <w:numId w:val="1"/>
        </w:numPr>
        <w:jc w:val="both"/>
        <w:rPr>
          <w:rFonts w:cstheme="minorHAnsi"/>
          <w:sz w:val="20"/>
          <w:szCs w:val="20"/>
        </w:rPr>
      </w:pPr>
      <w:r w:rsidRPr="00D07405">
        <w:rPr>
          <w:rFonts w:cstheme="minorHAnsi"/>
          <w:sz w:val="20"/>
          <w:szCs w:val="20"/>
        </w:rPr>
        <w:t>Integration of PhD completed on time and in full including launch of PhD.com, new E-Commerce fulfilment operation and installation of protein powder line at the Nelson factory</w:t>
      </w:r>
    </w:p>
    <w:p w14:paraId="3663528C" w14:textId="77777777" w:rsidR="001C6236" w:rsidRPr="00D07405" w:rsidRDefault="001C6236" w:rsidP="001C6236">
      <w:pPr>
        <w:pStyle w:val="NoSpacing"/>
        <w:jc w:val="both"/>
        <w:rPr>
          <w:rFonts w:cstheme="minorHAnsi"/>
          <w:sz w:val="20"/>
          <w:szCs w:val="20"/>
        </w:rPr>
      </w:pPr>
    </w:p>
    <w:p w14:paraId="1B62958F" w14:textId="77777777" w:rsidR="001C6236" w:rsidRPr="00D07405" w:rsidRDefault="001C6236" w:rsidP="001C6236">
      <w:pPr>
        <w:pStyle w:val="NoSpacing"/>
        <w:numPr>
          <w:ilvl w:val="0"/>
          <w:numId w:val="1"/>
        </w:numPr>
        <w:jc w:val="both"/>
        <w:rPr>
          <w:rFonts w:cstheme="minorHAnsi"/>
          <w:sz w:val="20"/>
          <w:szCs w:val="20"/>
        </w:rPr>
      </w:pPr>
      <w:r w:rsidRPr="00D07405">
        <w:rPr>
          <w:rFonts w:cstheme="minorHAnsi"/>
          <w:sz w:val="20"/>
          <w:szCs w:val="20"/>
        </w:rPr>
        <w:t>Online revenue, a key strategic focus for the Group, grew strongly up 36% to £16.4m (2018: pro forma</w:t>
      </w:r>
      <w:r w:rsidRPr="00D07405">
        <w:rPr>
          <w:rFonts w:cstheme="minorHAnsi"/>
          <w:sz w:val="20"/>
          <w:szCs w:val="20"/>
          <w:vertAlign w:val="superscript"/>
        </w:rPr>
        <w:t>1</w:t>
      </w:r>
      <w:r w:rsidRPr="00D07405">
        <w:rPr>
          <w:rFonts w:cstheme="minorHAnsi"/>
          <w:sz w:val="20"/>
          <w:szCs w:val="20"/>
        </w:rPr>
        <w:t xml:space="preserve"> £12.1m);</w:t>
      </w:r>
    </w:p>
    <w:p w14:paraId="30105A7A" w14:textId="77777777" w:rsidR="001C6236" w:rsidRPr="00D07405" w:rsidRDefault="001C6236" w:rsidP="001C6236">
      <w:pPr>
        <w:pStyle w:val="NoSpacing"/>
        <w:ind w:left="720"/>
        <w:jc w:val="both"/>
        <w:rPr>
          <w:rFonts w:cstheme="minorHAnsi"/>
          <w:sz w:val="20"/>
          <w:szCs w:val="20"/>
        </w:rPr>
      </w:pPr>
    </w:p>
    <w:p w14:paraId="7E6BD7C1" w14:textId="77777777" w:rsidR="001C6236" w:rsidRDefault="001C6236" w:rsidP="001C6236">
      <w:pPr>
        <w:pStyle w:val="NoSpacing"/>
        <w:numPr>
          <w:ilvl w:val="0"/>
          <w:numId w:val="1"/>
        </w:numPr>
        <w:jc w:val="both"/>
        <w:rPr>
          <w:rFonts w:cstheme="minorHAnsi"/>
          <w:sz w:val="20"/>
          <w:szCs w:val="20"/>
        </w:rPr>
      </w:pPr>
      <w:r>
        <w:rPr>
          <w:rFonts w:cstheme="minorHAnsi"/>
          <w:sz w:val="20"/>
          <w:szCs w:val="20"/>
        </w:rPr>
        <w:t xml:space="preserve">Strategic markets of USA and Football grew 92% and 94% respectively, in line with expectations, to £3.9m in total;  </w:t>
      </w:r>
    </w:p>
    <w:p w14:paraId="2EB970E7" w14:textId="77777777" w:rsidR="00FA6A73" w:rsidRDefault="00FA6A73" w:rsidP="003A455D">
      <w:pPr>
        <w:pStyle w:val="NoSpacing"/>
        <w:ind w:left="720"/>
        <w:jc w:val="both"/>
        <w:rPr>
          <w:rFonts w:cstheme="minorHAnsi"/>
          <w:sz w:val="20"/>
          <w:szCs w:val="20"/>
        </w:rPr>
      </w:pPr>
    </w:p>
    <w:p w14:paraId="78EB40F7" w14:textId="6AFE0958" w:rsidR="001C6236" w:rsidRPr="00D07405" w:rsidRDefault="001C6236" w:rsidP="001C6236">
      <w:pPr>
        <w:pStyle w:val="NoSpacing"/>
        <w:numPr>
          <w:ilvl w:val="0"/>
          <w:numId w:val="1"/>
        </w:numPr>
        <w:jc w:val="both"/>
        <w:rPr>
          <w:rFonts w:cstheme="minorHAnsi"/>
          <w:sz w:val="20"/>
          <w:szCs w:val="20"/>
        </w:rPr>
      </w:pPr>
      <w:r w:rsidRPr="00D07405">
        <w:rPr>
          <w:rFonts w:cstheme="minorHAnsi"/>
          <w:sz w:val="20"/>
          <w:szCs w:val="20"/>
        </w:rPr>
        <w:t>International Retail revenue up 41% to £12.3m (2018: pro forma</w:t>
      </w:r>
      <w:r w:rsidRPr="00D07405">
        <w:rPr>
          <w:rFonts w:cstheme="minorHAnsi"/>
          <w:sz w:val="20"/>
          <w:szCs w:val="20"/>
          <w:vertAlign w:val="superscript"/>
        </w:rPr>
        <w:t>1</w:t>
      </w:r>
      <w:r w:rsidRPr="00D07405">
        <w:rPr>
          <w:rFonts w:cstheme="minorHAnsi"/>
          <w:sz w:val="20"/>
          <w:szCs w:val="20"/>
        </w:rPr>
        <w:t xml:space="preserve"> £8.7m), with strong growth in existing markets in Europe and Asia, plus new territories including PhD launching in Saudi Arabia and SiS expanding into Latin America;</w:t>
      </w:r>
    </w:p>
    <w:p w14:paraId="742831DF" w14:textId="77777777" w:rsidR="001C6236" w:rsidRPr="00D07405" w:rsidRDefault="001C6236" w:rsidP="001C6236">
      <w:pPr>
        <w:pStyle w:val="NoSpacing"/>
        <w:ind w:left="720"/>
        <w:jc w:val="both"/>
        <w:rPr>
          <w:rFonts w:cstheme="minorHAnsi"/>
          <w:sz w:val="20"/>
          <w:szCs w:val="20"/>
        </w:rPr>
      </w:pPr>
    </w:p>
    <w:p w14:paraId="450E38D0" w14:textId="77777777" w:rsidR="001C6236" w:rsidRPr="00D07405" w:rsidRDefault="001C6236" w:rsidP="001C6236">
      <w:pPr>
        <w:pStyle w:val="NoSpacing"/>
        <w:numPr>
          <w:ilvl w:val="0"/>
          <w:numId w:val="1"/>
        </w:numPr>
        <w:jc w:val="both"/>
        <w:rPr>
          <w:rFonts w:cstheme="minorHAnsi"/>
          <w:sz w:val="20"/>
          <w:szCs w:val="20"/>
        </w:rPr>
      </w:pPr>
      <w:r w:rsidRPr="00D07405">
        <w:rPr>
          <w:rFonts w:cstheme="minorHAnsi"/>
          <w:sz w:val="20"/>
          <w:szCs w:val="20"/>
        </w:rPr>
        <w:t>Innovation-driven new products delivered 25% of total Group revenue growth and included PhD's vegan Smart Bar Plant, SiS’s Protein20 bars and the SiS Football range;</w:t>
      </w:r>
    </w:p>
    <w:p w14:paraId="4DA666B1" w14:textId="77777777" w:rsidR="001C6236" w:rsidRPr="00D07405" w:rsidRDefault="001C6236" w:rsidP="001C6236">
      <w:pPr>
        <w:pStyle w:val="NoSpacing"/>
        <w:ind w:left="720"/>
        <w:jc w:val="both"/>
        <w:rPr>
          <w:rFonts w:cstheme="minorHAnsi"/>
          <w:sz w:val="20"/>
          <w:szCs w:val="20"/>
        </w:rPr>
      </w:pPr>
    </w:p>
    <w:p w14:paraId="03BE7A0F" w14:textId="77777777" w:rsidR="001C6236" w:rsidRPr="00D07405" w:rsidRDefault="001C6236" w:rsidP="001C6236">
      <w:pPr>
        <w:pStyle w:val="NoSpacing"/>
        <w:numPr>
          <w:ilvl w:val="0"/>
          <w:numId w:val="1"/>
        </w:numPr>
        <w:jc w:val="both"/>
        <w:rPr>
          <w:rFonts w:cstheme="minorHAnsi"/>
          <w:sz w:val="20"/>
          <w:szCs w:val="20"/>
        </w:rPr>
      </w:pPr>
      <w:r w:rsidRPr="00D07405">
        <w:rPr>
          <w:rFonts w:cstheme="minorHAnsi"/>
          <w:sz w:val="20"/>
          <w:szCs w:val="20"/>
        </w:rPr>
        <w:t>Group gross margin of 44% (2018: 45% pro forma</w:t>
      </w:r>
      <w:r w:rsidRPr="00D07405">
        <w:rPr>
          <w:rFonts w:cstheme="minorHAnsi"/>
          <w:sz w:val="20"/>
          <w:szCs w:val="20"/>
          <w:vertAlign w:val="superscript"/>
        </w:rPr>
        <w:t>1</w:t>
      </w:r>
      <w:r w:rsidRPr="00D07405">
        <w:rPr>
          <w:rFonts w:cstheme="minorHAnsi"/>
          <w:sz w:val="20"/>
          <w:szCs w:val="20"/>
        </w:rPr>
        <w:t>) impacted by one-off items from inventory and global whey commodity pricing;</w:t>
      </w:r>
    </w:p>
    <w:p w14:paraId="3D5D3830" w14:textId="77777777" w:rsidR="001C6236" w:rsidRPr="00D07405" w:rsidRDefault="001C6236" w:rsidP="001C6236">
      <w:pPr>
        <w:pStyle w:val="NoSpacing"/>
        <w:ind w:left="720"/>
        <w:jc w:val="both"/>
        <w:rPr>
          <w:rFonts w:cstheme="minorHAnsi"/>
          <w:sz w:val="20"/>
          <w:szCs w:val="20"/>
        </w:rPr>
      </w:pPr>
    </w:p>
    <w:p w14:paraId="3C415FC1" w14:textId="77777777" w:rsidR="001C6236" w:rsidRPr="00D07405" w:rsidRDefault="001C6236" w:rsidP="001C6236">
      <w:pPr>
        <w:pStyle w:val="NoSpacing"/>
        <w:numPr>
          <w:ilvl w:val="0"/>
          <w:numId w:val="1"/>
        </w:numPr>
        <w:jc w:val="both"/>
        <w:rPr>
          <w:rFonts w:cstheme="minorHAnsi"/>
          <w:sz w:val="20"/>
          <w:szCs w:val="20"/>
        </w:rPr>
      </w:pPr>
      <w:r w:rsidRPr="00D07405">
        <w:rPr>
          <w:rFonts w:cstheme="minorHAnsi"/>
          <w:sz w:val="20"/>
          <w:szCs w:val="20"/>
        </w:rPr>
        <w:t>Underlying operating loss</w:t>
      </w:r>
      <w:r w:rsidRPr="00D07405">
        <w:rPr>
          <w:rFonts w:cstheme="minorHAnsi"/>
          <w:sz w:val="20"/>
          <w:szCs w:val="20"/>
          <w:vertAlign w:val="superscript"/>
        </w:rPr>
        <w:t>2</w:t>
      </w:r>
      <w:r w:rsidRPr="00D07405">
        <w:rPr>
          <w:rFonts w:cstheme="minorHAnsi"/>
          <w:sz w:val="20"/>
          <w:szCs w:val="20"/>
        </w:rPr>
        <w:t xml:space="preserve"> of £0.3m (2018: loss of £2.7m) in line with growth strategy and market expectations, reflecting continued investment in brand awareness, e-commerce and international expansion</w:t>
      </w:r>
      <w:r>
        <w:rPr>
          <w:rFonts w:cstheme="minorHAnsi"/>
          <w:sz w:val="20"/>
          <w:szCs w:val="20"/>
        </w:rPr>
        <w:t xml:space="preserve">; </w:t>
      </w:r>
    </w:p>
    <w:p w14:paraId="3303528B" w14:textId="77777777" w:rsidR="001C6236" w:rsidRPr="00D07405" w:rsidRDefault="001C6236" w:rsidP="001C6236">
      <w:pPr>
        <w:pStyle w:val="NoSpacing"/>
        <w:ind w:left="720"/>
        <w:jc w:val="both"/>
        <w:rPr>
          <w:rFonts w:cstheme="minorHAnsi"/>
          <w:sz w:val="20"/>
          <w:szCs w:val="20"/>
        </w:rPr>
      </w:pPr>
    </w:p>
    <w:p w14:paraId="218279C3" w14:textId="77777777" w:rsidR="001C6236" w:rsidRPr="00D07405" w:rsidRDefault="001C6236" w:rsidP="001C6236">
      <w:pPr>
        <w:pStyle w:val="NoSpacing"/>
        <w:numPr>
          <w:ilvl w:val="0"/>
          <w:numId w:val="1"/>
        </w:numPr>
        <w:jc w:val="both"/>
        <w:rPr>
          <w:rFonts w:cstheme="minorHAnsi"/>
          <w:sz w:val="20"/>
          <w:szCs w:val="20"/>
        </w:rPr>
      </w:pPr>
      <w:r w:rsidRPr="00D07405">
        <w:rPr>
          <w:rFonts w:cstheme="minorHAnsi"/>
          <w:sz w:val="20"/>
          <w:szCs w:val="20"/>
        </w:rPr>
        <w:t>Cash and cash equivalents of £5.4m (2018: £8.0m) in line with market expectations; and</w:t>
      </w:r>
    </w:p>
    <w:p w14:paraId="2585EA75" w14:textId="77777777" w:rsidR="001C6236" w:rsidRPr="00D07405" w:rsidRDefault="001C6236" w:rsidP="001C6236">
      <w:pPr>
        <w:pStyle w:val="NoSpacing"/>
        <w:ind w:left="720"/>
        <w:jc w:val="both"/>
        <w:rPr>
          <w:rFonts w:cstheme="minorHAnsi"/>
          <w:sz w:val="20"/>
          <w:szCs w:val="20"/>
        </w:rPr>
      </w:pPr>
    </w:p>
    <w:p w14:paraId="1D806253" w14:textId="77777777" w:rsidR="001C6236" w:rsidRDefault="001C6236" w:rsidP="001C6236">
      <w:pPr>
        <w:pStyle w:val="NoSpacing"/>
        <w:numPr>
          <w:ilvl w:val="0"/>
          <w:numId w:val="1"/>
        </w:numPr>
        <w:jc w:val="both"/>
        <w:rPr>
          <w:rFonts w:cstheme="minorHAnsi"/>
          <w:sz w:val="20"/>
          <w:szCs w:val="20"/>
        </w:rPr>
      </w:pPr>
      <w:r w:rsidRPr="00D07405">
        <w:rPr>
          <w:rFonts w:cstheme="minorHAnsi"/>
          <w:sz w:val="20"/>
          <w:szCs w:val="20"/>
        </w:rPr>
        <w:t>Post period end the Group continues to perform in-line with expectation</w:t>
      </w:r>
      <w:r>
        <w:rPr>
          <w:rFonts w:cstheme="minorHAnsi"/>
          <w:sz w:val="20"/>
          <w:szCs w:val="20"/>
        </w:rPr>
        <w:t xml:space="preserve">s, with Covid-19 preparations having been in place for some weeks.  </w:t>
      </w:r>
    </w:p>
    <w:p w14:paraId="6148B921" w14:textId="77777777" w:rsidR="001C6236" w:rsidRPr="00D07405" w:rsidRDefault="001C6236" w:rsidP="001C6236">
      <w:pPr>
        <w:pStyle w:val="NoSpacing"/>
        <w:jc w:val="both"/>
        <w:rPr>
          <w:rFonts w:cstheme="minorHAnsi"/>
          <w:sz w:val="20"/>
          <w:szCs w:val="20"/>
        </w:rPr>
      </w:pPr>
    </w:p>
    <w:p w14:paraId="3DF322EC" w14:textId="77777777" w:rsidR="001C6236" w:rsidRDefault="001C6236" w:rsidP="001C6236">
      <w:pPr>
        <w:pStyle w:val="NoSpacing"/>
        <w:rPr>
          <w:rFonts w:cstheme="minorHAnsi"/>
          <w:sz w:val="20"/>
          <w:szCs w:val="20"/>
        </w:rPr>
      </w:pPr>
    </w:p>
    <w:p w14:paraId="439CA1F5" w14:textId="77777777" w:rsidR="00FA6A73" w:rsidRDefault="001C6236" w:rsidP="001C6236">
      <w:pPr>
        <w:rPr>
          <w:rFonts w:cstheme="minorHAnsi"/>
          <w:sz w:val="16"/>
          <w:szCs w:val="16"/>
        </w:rPr>
      </w:pPr>
      <w:r w:rsidRPr="00D2313B">
        <w:rPr>
          <w:rFonts w:cstheme="minorHAnsi"/>
          <w:sz w:val="20"/>
          <w:szCs w:val="20"/>
          <w:vertAlign w:val="superscript"/>
        </w:rPr>
        <w:t>1</w:t>
      </w:r>
      <w:r w:rsidRPr="00D2313B">
        <w:rPr>
          <w:rFonts w:cstheme="minorHAnsi"/>
          <w:sz w:val="16"/>
          <w:szCs w:val="16"/>
        </w:rPr>
        <w:t xml:space="preserve">pro forma </w:t>
      </w:r>
      <w:r>
        <w:rPr>
          <w:rFonts w:cstheme="minorHAnsi"/>
          <w:sz w:val="16"/>
          <w:szCs w:val="16"/>
        </w:rPr>
        <w:t xml:space="preserve">revenue is </w:t>
      </w:r>
      <w:r w:rsidRPr="00D2313B">
        <w:rPr>
          <w:rFonts w:cstheme="minorHAnsi"/>
          <w:sz w:val="16"/>
          <w:szCs w:val="16"/>
        </w:rPr>
        <w:t xml:space="preserve">compared </w:t>
      </w:r>
      <w:r>
        <w:rPr>
          <w:rFonts w:cstheme="minorHAnsi"/>
          <w:sz w:val="16"/>
          <w:szCs w:val="16"/>
        </w:rPr>
        <w:t>with</w:t>
      </w:r>
      <w:r w:rsidRPr="00D2313B">
        <w:rPr>
          <w:rFonts w:cstheme="minorHAnsi"/>
          <w:sz w:val="16"/>
          <w:szCs w:val="16"/>
        </w:rPr>
        <w:t xml:space="preserve"> full year 2018 results for PhD and SiS brands </w:t>
      </w:r>
      <w:r>
        <w:rPr>
          <w:rFonts w:cstheme="minorHAnsi"/>
          <w:sz w:val="16"/>
          <w:szCs w:val="16"/>
        </w:rPr>
        <w:t>as set out in the Financial Review</w:t>
      </w:r>
    </w:p>
    <w:p w14:paraId="228EEB95" w14:textId="48C18874" w:rsidR="001C6236" w:rsidRPr="00D2313B" w:rsidRDefault="001C6236" w:rsidP="001C6236">
      <w:pPr>
        <w:rPr>
          <w:rFonts w:cstheme="minorHAnsi"/>
          <w:sz w:val="20"/>
          <w:szCs w:val="20"/>
        </w:rPr>
      </w:pPr>
      <w:r w:rsidRPr="00D2313B">
        <w:rPr>
          <w:rFonts w:cstheme="minorHAnsi"/>
          <w:sz w:val="20"/>
          <w:szCs w:val="20"/>
          <w:vertAlign w:val="superscript"/>
        </w:rPr>
        <w:t>2</w:t>
      </w:r>
      <w:r w:rsidRPr="00D2313B">
        <w:rPr>
          <w:rFonts w:cstheme="minorHAnsi"/>
          <w:sz w:val="16"/>
          <w:szCs w:val="16"/>
        </w:rPr>
        <w:t>excludes depreciation, amortisation, no</w:t>
      </w:r>
      <w:r>
        <w:rPr>
          <w:rFonts w:cstheme="minorHAnsi"/>
          <w:sz w:val="16"/>
          <w:szCs w:val="16"/>
        </w:rPr>
        <w:t xml:space="preserve">n-cash share-based payments, </w:t>
      </w:r>
      <w:r w:rsidRPr="00D2313B">
        <w:rPr>
          <w:rFonts w:cstheme="minorHAnsi"/>
          <w:sz w:val="16"/>
          <w:szCs w:val="16"/>
        </w:rPr>
        <w:t>costs relating to the acquisition and integration of PhD Nutrition</w:t>
      </w:r>
      <w:r>
        <w:rPr>
          <w:rFonts w:cstheme="minorHAnsi"/>
          <w:sz w:val="16"/>
          <w:szCs w:val="16"/>
        </w:rPr>
        <w:t>, IFRS 16 Lease payments and foreign exchange variances on intercompany balances</w:t>
      </w:r>
      <w:r w:rsidRPr="00D2313B">
        <w:rPr>
          <w:rFonts w:cstheme="minorHAnsi"/>
          <w:sz w:val="16"/>
          <w:szCs w:val="16"/>
        </w:rPr>
        <w:t xml:space="preserve"> </w:t>
      </w:r>
      <w:r>
        <w:rPr>
          <w:rFonts w:cstheme="minorHAnsi"/>
          <w:sz w:val="16"/>
          <w:szCs w:val="16"/>
        </w:rPr>
        <w:t>(</w:t>
      </w:r>
      <w:r w:rsidRPr="00D2313B">
        <w:rPr>
          <w:rFonts w:cstheme="minorHAnsi"/>
          <w:sz w:val="16"/>
          <w:szCs w:val="16"/>
        </w:rPr>
        <w:t>see Note 1</w:t>
      </w:r>
      <w:r>
        <w:rPr>
          <w:rFonts w:cstheme="minorHAnsi"/>
          <w:sz w:val="16"/>
          <w:szCs w:val="16"/>
        </w:rPr>
        <w:t>)</w:t>
      </w:r>
    </w:p>
    <w:p w14:paraId="5FF06BFF" w14:textId="77777777" w:rsidR="001C6236" w:rsidRDefault="001C6236" w:rsidP="001C6236">
      <w:pPr>
        <w:pStyle w:val="NoSpacing"/>
        <w:rPr>
          <w:rFonts w:cstheme="minorHAnsi"/>
          <w:sz w:val="20"/>
          <w:szCs w:val="20"/>
        </w:rPr>
      </w:pPr>
    </w:p>
    <w:p w14:paraId="256C10AC" w14:textId="77777777" w:rsidR="001C6236" w:rsidRDefault="001C6236" w:rsidP="001C6236">
      <w:pPr>
        <w:pStyle w:val="NoSpacing"/>
        <w:rPr>
          <w:rFonts w:cstheme="minorHAnsi"/>
          <w:sz w:val="20"/>
          <w:szCs w:val="20"/>
        </w:rPr>
      </w:pPr>
    </w:p>
    <w:p w14:paraId="3DC853B4" w14:textId="77777777" w:rsidR="001C6236" w:rsidRDefault="001C6236" w:rsidP="001C6236">
      <w:pPr>
        <w:pStyle w:val="NoSpacing"/>
        <w:rPr>
          <w:rFonts w:cstheme="minorHAnsi"/>
          <w:b/>
          <w:sz w:val="20"/>
          <w:szCs w:val="20"/>
        </w:rPr>
      </w:pPr>
      <w:r w:rsidRPr="004A04FF">
        <w:rPr>
          <w:rFonts w:cstheme="minorHAnsi"/>
          <w:b/>
          <w:sz w:val="20"/>
          <w:szCs w:val="20"/>
        </w:rPr>
        <w:t>Stephen Moon, Science in Sport’s Chief Executive Officer, commented:</w:t>
      </w:r>
    </w:p>
    <w:p w14:paraId="493FE33A" w14:textId="77777777" w:rsidR="001C6236" w:rsidRDefault="001C6236" w:rsidP="001C6236">
      <w:pPr>
        <w:pStyle w:val="NoSpacing"/>
        <w:rPr>
          <w:rFonts w:cstheme="minorHAnsi"/>
          <w:sz w:val="20"/>
          <w:szCs w:val="20"/>
        </w:rPr>
      </w:pPr>
    </w:p>
    <w:p w14:paraId="32FD02CF" w14:textId="77777777" w:rsidR="001C6236" w:rsidRDefault="001C6236" w:rsidP="001C6236">
      <w:pPr>
        <w:pStyle w:val="NoSpacing"/>
        <w:rPr>
          <w:rFonts w:cstheme="minorHAnsi"/>
          <w:sz w:val="20"/>
          <w:szCs w:val="20"/>
        </w:rPr>
      </w:pPr>
      <w:r>
        <w:rPr>
          <w:rFonts w:cstheme="minorHAnsi"/>
          <w:sz w:val="20"/>
          <w:szCs w:val="20"/>
        </w:rPr>
        <w:t>“</w:t>
      </w:r>
      <w:r w:rsidRPr="00D07405">
        <w:rPr>
          <w:rFonts w:cstheme="minorHAnsi"/>
          <w:sz w:val="20"/>
          <w:szCs w:val="20"/>
        </w:rPr>
        <w:t>2019 was a transformational year for Science in Sport as we integrated the PhD business as planned and continued our strategic growth focus on e‐commerce and international</w:t>
      </w:r>
      <w:r>
        <w:rPr>
          <w:rFonts w:cstheme="minorHAnsi"/>
          <w:sz w:val="20"/>
          <w:szCs w:val="20"/>
        </w:rPr>
        <w:t>,</w:t>
      </w:r>
      <w:r w:rsidRPr="00D07405">
        <w:rPr>
          <w:rFonts w:cstheme="minorHAnsi"/>
          <w:sz w:val="20"/>
          <w:szCs w:val="20"/>
        </w:rPr>
        <w:t xml:space="preserve"> positioning the Group for the next stage of its growth.</w:t>
      </w:r>
    </w:p>
    <w:p w14:paraId="2F6197C4" w14:textId="77777777" w:rsidR="001C6236" w:rsidRDefault="001C6236" w:rsidP="001C6236">
      <w:pPr>
        <w:pStyle w:val="NoSpacing"/>
        <w:rPr>
          <w:rFonts w:cstheme="minorHAnsi"/>
          <w:sz w:val="20"/>
          <w:szCs w:val="20"/>
        </w:rPr>
      </w:pPr>
    </w:p>
    <w:p w14:paraId="4E080881" w14:textId="12F4D2FD" w:rsidR="001C6236" w:rsidRPr="000A63E6" w:rsidRDefault="001C6236" w:rsidP="001C6236">
      <w:pPr>
        <w:pStyle w:val="NoSpacing"/>
        <w:rPr>
          <w:rFonts w:ascii="Arial" w:hAnsi="Arial" w:cs="Arial"/>
          <w:sz w:val="20"/>
          <w:szCs w:val="20"/>
        </w:rPr>
      </w:pPr>
      <w:r>
        <w:rPr>
          <w:rFonts w:cstheme="minorHAnsi"/>
          <w:sz w:val="20"/>
          <w:szCs w:val="20"/>
        </w:rPr>
        <w:t xml:space="preserve">Our preparations for Covid-19 disruption have been underway for several weeks and measures include buying sensitive raw materials, securing the supply chain operation, and remote working for commercial and operations staff. Costs are being managed very tightly and contingency plans are in place. </w:t>
      </w:r>
      <w:r w:rsidR="00FA6A73">
        <w:rPr>
          <w:rFonts w:cstheme="minorHAnsi"/>
          <w:sz w:val="20"/>
          <w:szCs w:val="20"/>
        </w:rPr>
        <w:t>We are well prepared</w:t>
      </w:r>
      <w:r w:rsidR="00FA6A73" w:rsidRPr="00863127">
        <w:rPr>
          <w:rFonts w:cstheme="minorHAnsi"/>
          <w:sz w:val="20"/>
          <w:szCs w:val="20"/>
        </w:rPr>
        <w:t xml:space="preserve"> to protect the Comp</w:t>
      </w:r>
      <w:r w:rsidR="009E0DFB">
        <w:rPr>
          <w:rFonts w:cstheme="minorHAnsi"/>
          <w:sz w:val="20"/>
          <w:szCs w:val="20"/>
        </w:rPr>
        <w:t>any and its workforce should the</w:t>
      </w:r>
      <w:r w:rsidR="00FA6A73" w:rsidRPr="00863127">
        <w:rPr>
          <w:rFonts w:cstheme="minorHAnsi"/>
          <w:sz w:val="20"/>
          <w:szCs w:val="20"/>
        </w:rPr>
        <w:t xml:space="preserve"> impact from Covid-19 become extended</w:t>
      </w:r>
      <w:r>
        <w:rPr>
          <w:rFonts w:cstheme="minorHAnsi"/>
          <w:sz w:val="20"/>
          <w:szCs w:val="20"/>
        </w:rPr>
        <w:t>.”</w:t>
      </w:r>
    </w:p>
    <w:p w14:paraId="253B0F96" w14:textId="77777777" w:rsidR="001C6236" w:rsidRDefault="001C6236" w:rsidP="001C6236">
      <w:pPr>
        <w:pStyle w:val="NoSpacing"/>
        <w:rPr>
          <w:rFonts w:cstheme="minorHAnsi"/>
          <w:sz w:val="20"/>
          <w:szCs w:val="20"/>
        </w:rPr>
      </w:pPr>
    </w:p>
    <w:p w14:paraId="65D1B559" w14:textId="77777777" w:rsidR="001C6236" w:rsidRPr="00660431" w:rsidRDefault="001C6236" w:rsidP="001C6236">
      <w:pPr>
        <w:rPr>
          <w:rFonts w:cstheme="minorHAnsi"/>
          <w:b/>
          <w:sz w:val="20"/>
          <w:szCs w:val="20"/>
          <w:lang w:val="en-US"/>
        </w:rPr>
      </w:pPr>
      <w:r w:rsidRPr="00660431">
        <w:rPr>
          <w:rFonts w:cstheme="minorHAnsi"/>
          <w:b/>
          <w:sz w:val="20"/>
          <w:szCs w:val="20"/>
          <w:lang w:val="en-US"/>
        </w:rPr>
        <w:t>For further information:</w:t>
      </w:r>
    </w:p>
    <w:p w14:paraId="3926F897" w14:textId="77777777" w:rsidR="001C6236" w:rsidRPr="00660431" w:rsidRDefault="001C6236" w:rsidP="001C6236">
      <w:pPr>
        <w:rPr>
          <w:rFonts w:cstheme="minorHAnsi"/>
          <w:b/>
          <w:color w:val="000000"/>
          <w:sz w:val="20"/>
          <w:szCs w:val="20"/>
          <w:shd w:val="clear" w:color="auto" w:fill="FFFFFF"/>
        </w:rPr>
      </w:pPr>
    </w:p>
    <w:tbl>
      <w:tblPr>
        <w:tblW w:w="9039" w:type="dxa"/>
        <w:shd w:val="clear" w:color="auto" w:fill="FFFFFF"/>
        <w:tblCellMar>
          <w:left w:w="0" w:type="dxa"/>
          <w:right w:w="0" w:type="dxa"/>
        </w:tblCellMar>
        <w:tblLook w:val="04A0" w:firstRow="1" w:lastRow="0" w:firstColumn="1" w:lastColumn="0" w:noHBand="0" w:noVBand="1"/>
      </w:tblPr>
      <w:tblGrid>
        <w:gridCol w:w="5157"/>
        <w:gridCol w:w="3882"/>
      </w:tblGrid>
      <w:tr w:rsidR="001C6236" w:rsidRPr="00660431" w14:paraId="76F96AA0" w14:textId="77777777" w:rsidTr="003A455D">
        <w:trPr>
          <w:trHeight w:val="1260"/>
        </w:trPr>
        <w:tc>
          <w:tcPr>
            <w:tcW w:w="4911" w:type="dxa"/>
            <w:shd w:val="clear" w:color="auto" w:fill="FFFFFF"/>
            <w:tcMar>
              <w:top w:w="0" w:type="dxa"/>
              <w:left w:w="108" w:type="dxa"/>
              <w:bottom w:w="0" w:type="dxa"/>
              <w:right w:w="108" w:type="dxa"/>
            </w:tcMar>
            <w:hideMark/>
          </w:tcPr>
          <w:p w14:paraId="271B89DB" w14:textId="77777777" w:rsidR="001C6236" w:rsidRPr="00660431" w:rsidRDefault="001C6236" w:rsidP="003A455D">
            <w:pPr>
              <w:pStyle w:val="by"/>
              <w:spacing w:before="0" w:beforeAutospacing="0" w:after="200" w:afterAutospacing="0"/>
              <w:rPr>
                <w:rFonts w:asciiTheme="minorHAnsi" w:hAnsiTheme="minorHAnsi" w:cstheme="minorHAnsi"/>
                <w:b/>
                <w:sz w:val="20"/>
                <w:szCs w:val="20"/>
                <w:lang w:val="en-US"/>
              </w:rPr>
            </w:pPr>
            <w:r w:rsidRPr="00660431">
              <w:rPr>
                <w:rFonts w:asciiTheme="minorHAnsi" w:hAnsiTheme="minorHAnsi" w:cstheme="minorHAnsi"/>
                <w:b/>
                <w:sz w:val="20"/>
                <w:szCs w:val="20"/>
                <w:lang w:val="en-US"/>
              </w:rPr>
              <w:t>Science in Sport plc</w:t>
            </w:r>
          </w:p>
          <w:p w14:paraId="66845798" w14:textId="77777777" w:rsidR="001C6236" w:rsidRPr="00660431" w:rsidRDefault="001C6236" w:rsidP="003A455D">
            <w:pPr>
              <w:pStyle w:val="by"/>
              <w:spacing w:before="0" w:beforeAutospacing="0" w:after="0" w:afterAutospacing="0"/>
              <w:rPr>
                <w:rFonts w:asciiTheme="minorHAnsi" w:hAnsiTheme="minorHAnsi" w:cstheme="minorHAnsi"/>
                <w:sz w:val="20"/>
                <w:szCs w:val="20"/>
                <w:lang w:val="en-US"/>
              </w:rPr>
            </w:pPr>
            <w:r w:rsidRPr="00660431">
              <w:rPr>
                <w:rFonts w:asciiTheme="minorHAnsi" w:hAnsiTheme="minorHAnsi" w:cstheme="minorHAnsi"/>
                <w:sz w:val="20"/>
                <w:szCs w:val="20"/>
                <w:lang w:val="en-US"/>
              </w:rPr>
              <w:t>Stephen Moon, Chief Executive Officer</w:t>
            </w:r>
          </w:p>
          <w:p w14:paraId="7E215588" w14:textId="77777777" w:rsidR="001C6236" w:rsidRPr="00660431" w:rsidRDefault="001C6236" w:rsidP="003A455D">
            <w:pPr>
              <w:pStyle w:val="by"/>
              <w:spacing w:before="0" w:beforeAutospacing="0" w:after="0" w:afterAutospacing="0"/>
              <w:rPr>
                <w:rFonts w:asciiTheme="minorHAnsi" w:hAnsiTheme="minorHAnsi" w:cstheme="minorHAnsi"/>
                <w:sz w:val="20"/>
                <w:szCs w:val="20"/>
                <w:lang w:val="en-US"/>
              </w:rPr>
            </w:pPr>
            <w:r w:rsidRPr="00660431">
              <w:rPr>
                <w:rFonts w:asciiTheme="minorHAnsi" w:hAnsiTheme="minorHAnsi" w:cstheme="minorHAnsi"/>
                <w:sz w:val="20"/>
                <w:szCs w:val="20"/>
                <w:lang w:val="en-US"/>
              </w:rPr>
              <w:t>James Simpson, Chief Financial Officer</w:t>
            </w:r>
          </w:p>
        </w:tc>
        <w:tc>
          <w:tcPr>
            <w:tcW w:w="3696" w:type="dxa"/>
            <w:shd w:val="clear" w:color="auto" w:fill="FFFFFF"/>
            <w:tcMar>
              <w:top w:w="0" w:type="dxa"/>
              <w:left w:w="108" w:type="dxa"/>
              <w:bottom w:w="0" w:type="dxa"/>
              <w:right w:w="108" w:type="dxa"/>
            </w:tcMar>
            <w:hideMark/>
          </w:tcPr>
          <w:p w14:paraId="5FDB3126" w14:textId="77777777" w:rsidR="001C6236" w:rsidRPr="00660431" w:rsidRDefault="001C6236" w:rsidP="003A455D">
            <w:pPr>
              <w:pStyle w:val="by"/>
              <w:spacing w:before="0" w:beforeAutospacing="0" w:after="200" w:afterAutospacing="0"/>
              <w:rPr>
                <w:rFonts w:asciiTheme="minorHAnsi" w:hAnsiTheme="minorHAnsi" w:cstheme="minorHAnsi"/>
                <w:b/>
                <w:color w:val="000000"/>
                <w:sz w:val="20"/>
                <w:szCs w:val="20"/>
              </w:rPr>
            </w:pPr>
            <w:r w:rsidRPr="00660431">
              <w:rPr>
                <w:rStyle w:val="aq"/>
                <w:rFonts w:asciiTheme="minorHAnsi" w:hAnsiTheme="minorHAnsi" w:cstheme="minorHAnsi"/>
                <w:b/>
                <w:color w:val="000000"/>
                <w:sz w:val="20"/>
                <w:szCs w:val="20"/>
              </w:rPr>
              <w:t>+44 (0) 20 7400 3700</w:t>
            </w:r>
          </w:p>
        </w:tc>
      </w:tr>
      <w:tr w:rsidR="001C6236" w:rsidRPr="00660431" w14:paraId="2AE98BB6" w14:textId="77777777" w:rsidTr="003A455D">
        <w:trPr>
          <w:trHeight w:val="1353"/>
        </w:trPr>
        <w:tc>
          <w:tcPr>
            <w:tcW w:w="4911" w:type="dxa"/>
            <w:shd w:val="clear" w:color="auto" w:fill="FFFFFF"/>
            <w:tcMar>
              <w:top w:w="0" w:type="dxa"/>
              <w:left w:w="108" w:type="dxa"/>
              <w:bottom w:w="0" w:type="dxa"/>
              <w:right w:w="108" w:type="dxa"/>
            </w:tcMar>
            <w:hideMark/>
          </w:tcPr>
          <w:p w14:paraId="597C6493" w14:textId="77777777" w:rsidR="001C6236" w:rsidRPr="00660431" w:rsidRDefault="001C6236" w:rsidP="003A455D">
            <w:pPr>
              <w:pStyle w:val="bz"/>
              <w:spacing w:before="0" w:beforeAutospacing="0" w:after="200" w:afterAutospacing="0"/>
              <w:rPr>
                <w:rFonts w:asciiTheme="minorHAnsi" w:hAnsiTheme="minorHAnsi" w:cstheme="minorHAnsi"/>
                <w:color w:val="000000"/>
                <w:sz w:val="20"/>
                <w:szCs w:val="20"/>
              </w:rPr>
            </w:pPr>
            <w:r w:rsidRPr="00660431">
              <w:rPr>
                <w:rFonts w:asciiTheme="minorHAnsi" w:hAnsiTheme="minorHAnsi" w:cstheme="minorHAnsi"/>
                <w:b/>
                <w:sz w:val="20"/>
                <w:szCs w:val="20"/>
                <w:lang w:val="en-US"/>
              </w:rPr>
              <w:t xml:space="preserve">Liberum </w:t>
            </w:r>
            <w:r w:rsidRPr="00660431">
              <w:rPr>
                <w:rFonts w:asciiTheme="minorHAnsi" w:hAnsiTheme="minorHAnsi" w:cstheme="minorHAnsi"/>
                <w:b/>
                <w:sz w:val="20"/>
                <w:szCs w:val="20"/>
                <w:lang w:val="en-US"/>
              </w:rPr>
              <w:br/>
            </w:r>
            <w:r w:rsidRPr="00660431">
              <w:rPr>
                <w:rStyle w:val="av"/>
                <w:rFonts w:asciiTheme="minorHAnsi" w:hAnsiTheme="minorHAnsi" w:cstheme="minorHAnsi"/>
                <w:i/>
                <w:color w:val="000000"/>
                <w:sz w:val="20"/>
                <w:szCs w:val="20"/>
              </w:rPr>
              <w:t>Nominated adviser and broker</w:t>
            </w:r>
          </w:p>
          <w:p w14:paraId="142B3D56" w14:textId="77777777" w:rsidR="001C6236" w:rsidRDefault="001C6236" w:rsidP="003A455D">
            <w:pPr>
              <w:pStyle w:val="bz"/>
              <w:spacing w:before="0" w:beforeAutospacing="0" w:after="0" w:afterAutospacing="0"/>
              <w:rPr>
                <w:rFonts w:asciiTheme="minorHAnsi" w:hAnsiTheme="minorHAnsi" w:cstheme="minorHAnsi"/>
                <w:sz w:val="20"/>
                <w:szCs w:val="20"/>
              </w:rPr>
            </w:pPr>
            <w:r w:rsidRPr="00660431">
              <w:rPr>
                <w:rFonts w:asciiTheme="minorHAnsi" w:hAnsiTheme="minorHAnsi" w:cstheme="minorHAnsi"/>
                <w:sz w:val="20"/>
                <w:szCs w:val="20"/>
              </w:rPr>
              <w:t>Bidhi Bhoma</w:t>
            </w:r>
            <w:r w:rsidRPr="00660431">
              <w:rPr>
                <w:rFonts w:asciiTheme="minorHAnsi" w:hAnsiTheme="minorHAnsi" w:cstheme="minorHAnsi"/>
                <w:color w:val="000000"/>
                <w:sz w:val="20"/>
                <w:szCs w:val="20"/>
              </w:rPr>
              <w:br/>
            </w:r>
            <w:r w:rsidRPr="00660431">
              <w:rPr>
                <w:rFonts w:asciiTheme="minorHAnsi" w:hAnsiTheme="minorHAnsi" w:cstheme="minorHAnsi"/>
                <w:sz w:val="20"/>
                <w:szCs w:val="20"/>
              </w:rPr>
              <w:t>James Greenwood</w:t>
            </w:r>
          </w:p>
          <w:p w14:paraId="59DCCF3A" w14:textId="77777777" w:rsidR="001C6236" w:rsidRPr="00660431" w:rsidRDefault="001C6236" w:rsidP="003A455D">
            <w:pPr>
              <w:pStyle w:val="bz"/>
              <w:spacing w:before="0" w:beforeAutospacing="0" w:after="200" w:afterAutospacing="0"/>
              <w:rPr>
                <w:rFonts w:asciiTheme="minorHAnsi" w:hAnsiTheme="minorHAnsi" w:cstheme="minorHAnsi"/>
                <w:color w:val="000000"/>
                <w:sz w:val="20"/>
                <w:szCs w:val="20"/>
              </w:rPr>
            </w:pPr>
            <w:r>
              <w:rPr>
                <w:rFonts w:asciiTheme="minorHAnsi" w:hAnsiTheme="minorHAnsi" w:cstheme="minorHAnsi"/>
                <w:sz w:val="20"/>
                <w:szCs w:val="20"/>
              </w:rPr>
              <w:t>William Hall</w:t>
            </w:r>
          </w:p>
        </w:tc>
        <w:tc>
          <w:tcPr>
            <w:tcW w:w="3696" w:type="dxa"/>
            <w:shd w:val="clear" w:color="auto" w:fill="FFFFFF"/>
            <w:tcMar>
              <w:top w:w="0" w:type="dxa"/>
              <w:left w:w="108" w:type="dxa"/>
              <w:bottom w:w="0" w:type="dxa"/>
              <w:right w:w="108" w:type="dxa"/>
            </w:tcMar>
            <w:hideMark/>
          </w:tcPr>
          <w:p w14:paraId="0706CCC0" w14:textId="77777777" w:rsidR="001C6236" w:rsidRPr="00660431" w:rsidRDefault="001C6236" w:rsidP="003A455D">
            <w:pPr>
              <w:pStyle w:val="by"/>
              <w:spacing w:before="0" w:beforeAutospacing="0" w:after="200" w:afterAutospacing="0"/>
              <w:rPr>
                <w:rFonts w:asciiTheme="minorHAnsi" w:hAnsiTheme="minorHAnsi" w:cstheme="minorHAnsi"/>
                <w:b/>
                <w:color w:val="000000"/>
                <w:sz w:val="20"/>
                <w:szCs w:val="20"/>
              </w:rPr>
            </w:pPr>
            <w:r w:rsidRPr="00660431">
              <w:rPr>
                <w:rStyle w:val="aq"/>
                <w:rFonts w:asciiTheme="minorHAnsi" w:hAnsiTheme="minorHAnsi" w:cstheme="minorHAnsi"/>
                <w:b/>
                <w:color w:val="000000"/>
                <w:sz w:val="20"/>
                <w:szCs w:val="20"/>
              </w:rPr>
              <w:t>+44 (0) 20 3100 2000</w:t>
            </w:r>
          </w:p>
        </w:tc>
      </w:tr>
      <w:tr w:rsidR="001C6236" w:rsidRPr="00660431" w14:paraId="5DE28295" w14:textId="77777777" w:rsidTr="003A455D">
        <w:tc>
          <w:tcPr>
            <w:tcW w:w="4911" w:type="dxa"/>
            <w:shd w:val="clear" w:color="auto" w:fill="FFFFFF"/>
            <w:tcMar>
              <w:top w:w="0" w:type="dxa"/>
              <w:left w:w="108" w:type="dxa"/>
              <w:bottom w:w="0" w:type="dxa"/>
              <w:right w:w="108" w:type="dxa"/>
            </w:tcMar>
            <w:hideMark/>
          </w:tcPr>
          <w:p w14:paraId="5CA1942A" w14:textId="77777777" w:rsidR="001C6236" w:rsidRPr="00660431" w:rsidRDefault="001C6236" w:rsidP="003A455D">
            <w:pPr>
              <w:pStyle w:val="bz"/>
              <w:spacing w:before="0" w:beforeAutospacing="0" w:after="200" w:afterAutospacing="0"/>
              <w:rPr>
                <w:rFonts w:asciiTheme="minorHAnsi" w:hAnsiTheme="minorHAnsi" w:cstheme="minorHAnsi"/>
                <w:color w:val="000000"/>
                <w:sz w:val="20"/>
                <w:szCs w:val="20"/>
              </w:rPr>
            </w:pPr>
            <w:r w:rsidRPr="00660431">
              <w:rPr>
                <w:rStyle w:val="aq"/>
                <w:rFonts w:asciiTheme="minorHAnsi" w:hAnsiTheme="minorHAnsi" w:cstheme="minorHAnsi"/>
                <w:b/>
                <w:color w:val="000000"/>
                <w:sz w:val="20"/>
                <w:szCs w:val="20"/>
              </w:rPr>
              <w:t>Buchanan Communications</w:t>
            </w:r>
            <w:r w:rsidRPr="00660431">
              <w:rPr>
                <w:rFonts w:asciiTheme="minorHAnsi" w:hAnsiTheme="minorHAnsi" w:cstheme="minorHAnsi"/>
                <w:b/>
                <w:bCs/>
                <w:color w:val="000000"/>
                <w:sz w:val="20"/>
                <w:szCs w:val="20"/>
              </w:rPr>
              <w:br/>
            </w:r>
            <w:r w:rsidRPr="00660431">
              <w:rPr>
                <w:rStyle w:val="av"/>
                <w:rFonts w:asciiTheme="minorHAnsi" w:hAnsiTheme="minorHAnsi" w:cstheme="minorHAnsi"/>
                <w:i/>
                <w:color w:val="000000"/>
                <w:sz w:val="20"/>
                <w:szCs w:val="20"/>
              </w:rPr>
              <w:t>Financial PR</w:t>
            </w:r>
          </w:p>
          <w:p w14:paraId="3DBE014D" w14:textId="77777777" w:rsidR="001C6236" w:rsidRPr="00660431" w:rsidRDefault="001C6236" w:rsidP="003A455D">
            <w:pPr>
              <w:pStyle w:val="bz"/>
              <w:spacing w:before="0" w:beforeAutospacing="0" w:after="200" w:afterAutospacing="0"/>
              <w:rPr>
                <w:rFonts w:asciiTheme="minorHAnsi" w:hAnsiTheme="minorHAnsi" w:cstheme="minorHAnsi"/>
                <w:color w:val="000000"/>
                <w:sz w:val="20"/>
                <w:szCs w:val="20"/>
              </w:rPr>
            </w:pPr>
            <w:r w:rsidRPr="00660431">
              <w:rPr>
                <w:rFonts w:asciiTheme="minorHAnsi" w:hAnsiTheme="minorHAnsi" w:cstheme="minorHAnsi"/>
                <w:sz w:val="20"/>
                <w:szCs w:val="20"/>
              </w:rPr>
              <w:t>Mark Court</w:t>
            </w:r>
            <w:r w:rsidRPr="00660431">
              <w:rPr>
                <w:rFonts w:asciiTheme="minorHAnsi" w:hAnsiTheme="minorHAnsi" w:cstheme="minorHAnsi"/>
                <w:sz w:val="20"/>
                <w:szCs w:val="20"/>
              </w:rPr>
              <w:br/>
              <w:t>Vicky Hayns</w:t>
            </w:r>
            <w:r w:rsidRPr="00660431">
              <w:rPr>
                <w:rFonts w:asciiTheme="minorHAnsi" w:hAnsiTheme="minorHAnsi" w:cstheme="minorHAnsi"/>
                <w:sz w:val="20"/>
                <w:szCs w:val="20"/>
              </w:rPr>
              <w:br/>
              <w:t>Tilly Abraham</w:t>
            </w:r>
          </w:p>
        </w:tc>
        <w:tc>
          <w:tcPr>
            <w:tcW w:w="3696" w:type="dxa"/>
            <w:shd w:val="clear" w:color="auto" w:fill="FFFFFF"/>
            <w:tcMar>
              <w:top w:w="0" w:type="dxa"/>
              <w:left w:w="108" w:type="dxa"/>
              <w:bottom w:w="0" w:type="dxa"/>
              <w:right w:w="108" w:type="dxa"/>
            </w:tcMar>
            <w:hideMark/>
          </w:tcPr>
          <w:p w14:paraId="3D44ABFB" w14:textId="77777777" w:rsidR="001C6236" w:rsidRPr="00660431" w:rsidRDefault="001C6236" w:rsidP="003A455D">
            <w:pPr>
              <w:pStyle w:val="by"/>
              <w:spacing w:before="0" w:beforeAutospacing="0" w:after="200" w:afterAutospacing="0"/>
              <w:rPr>
                <w:rFonts w:asciiTheme="minorHAnsi" w:hAnsiTheme="minorHAnsi" w:cstheme="minorHAnsi"/>
                <w:b/>
                <w:color w:val="000000"/>
                <w:sz w:val="20"/>
                <w:szCs w:val="20"/>
              </w:rPr>
            </w:pPr>
            <w:r w:rsidRPr="00660431">
              <w:rPr>
                <w:rStyle w:val="aq"/>
                <w:rFonts w:asciiTheme="minorHAnsi" w:hAnsiTheme="minorHAnsi" w:cstheme="minorHAnsi"/>
                <w:b/>
                <w:color w:val="000000"/>
                <w:sz w:val="20"/>
                <w:szCs w:val="20"/>
              </w:rPr>
              <w:t>+44 (0) 20 7466 5000</w:t>
            </w:r>
          </w:p>
          <w:p w14:paraId="0E86A131" w14:textId="77777777" w:rsidR="001C6236" w:rsidRPr="00660431" w:rsidRDefault="00524257" w:rsidP="003A455D">
            <w:pPr>
              <w:pStyle w:val="bz"/>
              <w:spacing w:before="0" w:beforeAutospacing="0" w:after="200" w:afterAutospacing="0"/>
              <w:rPr>
                <w:rFonts w:asciiTheme="minorHAnsi" w:hAnsiTheme="minorHAnsi" w:cstheme="minorHAnsi"/>
                <w:color w:val="000000"/>
                <w:sz w:val="20"/>
                <w:szCs w:val="20"/>
              </w:rPr>
            </w:pPr>
            <w:hyperlink r:id="rId8" w:history="1">
              <w:r w:rsidR="001C6236" w:rsidRPr="00660431">
                <w:rPr>
                  <w:rStyle w:val="Hyperlink"/>
                  <w:rFonts w:asciiTheme="minorHAnsi" w:hAnsiTheme="minorHAnsi" w:cstheme="minorHAnsi"/>
                  <w:sz w:val="20"/>
                  <w:szCs w:val="20"/>
                </w:rPr>
                <w:t>ScienceInSport@buchanan.uk.com</w:t>
              </w:r>
            </w:hyperlink>
          </w:p>
        </w:tc>
      </w:tr>
    </w:tbl>
    <w:p w14:paraId="55B8674B" w14:textId="77777777" w:rsidR="001C6236" w:rsidRPr="00660431" w:rsidRDefault="001C6236" w:rsidP="001C6236">
      <w:pPr>
        <w:rPr>
          <w:rFonts w:cstheme="minorHAnsi"/>
          <w:b/>
          <w:color w:val="000000"/>
          <w:sz w:val="20"/>
          <w:szCs w:val="20"/>
          <w:shd w:val="clear" w:color="auto" w:fill="FFFFFF"/>
        </w:rPr>
      </w:pPr>
    </w:p>
    <w:p w14:paraId="1E5F87EF" w14:textId="77777777" w:rsidR="001C6236" w:rsidRPr="00660431" w:rsidRDefault="001C6236" w:rsidP="001C6236">
      <w:pPr>
        <w:rPr>
          <w:rFonts w:cstheme="minorHAnsi"/>
          <w:b/>
          <w:color w:val="000000"/>
          <w:sz w:val="20"/>
          <w:szCs w:val="20"/>
          <w:shd w:val="clear" w:color="auto" w:fill="FFFFFF"/>
        </w:rPr>
      </w:pPr>
    </w:p>
    <w:p w14:paraId="51EE8D93" w14:textId="77777777" w:rsidR="001C6236" w:rsidRPr="00660431" w:rsidRDefault="001C6236" w:rsidP="001C6236">
      <w:pPr>
        <w:rPr>
          <w:rFonts w:cstheme="minorHAnsi"/>
          <w:sz w:val="20"/>
          <w:szCs w:val="20"/>
          <w:highlight w:val="yellow"/>
        </w:rPr>
      </w:pPr>
      <w:r w:rsidRPr="00660431">
        <w:rPr>
          <w:rFonts w:cstheme="minorHAnsi"/>
          <w:b/>
          <w:color w:val="000000"/>
          <w:sz w:val="20"/>
          <w:szCs w:val="20"/>
          <w:shd w:val="clear" w:color="auto" w:fill="FFFFFF"/>
        </w:rPr>
        <w:t>Notes to Editors</w:t>
      </w:r>
    </w:p>
    <w:p w14:paraId="47BA319E" w14:textId="77777777" w:rsidR="001C6236" w:rsidRPr="00660431" w:rsidRDefault="001C6236" w:rsidP="001C6236">
      <w:pPr>
        <w:rPr>
          <w:rFonts w:cstheme="minorHAnsi"/>
          <w:sz w:val="20"/>
          <w:szCs w:val="20"/>
          <w:highlight w:val="yellow"/>
        </w:rPr>
      </w:pPr>
    </w:p>
    <w:p w14:paraId="4D0E65D8" w14:textId="77777777" w:rsidR="001C6236" w:rsidRPr="00660431" w:rsidRDefault="001C6236" w:rsidP="001C6236">
      <w:pPr>
        <w:rPr>
          <w:rFonts w:cstheme="minorHAnsi"/>
          <w:b/>
          <w:color w:val="000000"/>
          <w:sz w:val="20"/>
          <w:szCs w:val="20"/>
        </w:rPr>
      </w:pPr>
      <w:r w:rsidRPr="00660431">
        <w:rPr>
          <w:rFonts w:cstheme="minorHAnsi"/>
          <w:b/>
          <w:color w:val="000000"/>
          <w:sz w:val="20"/>
          <w:szCs w:val="20"/>
        </w:rPr>
        <w:t>About Science in Sport plc</w:t>
      </w:r>
    </w:p>
    <w:p w14:paraId="3C65FB71" w14:textId="77777777" w:rsidR="001C6236" w:rsidRPr="00660431" w:rsidRDefault="001C6236" w:rsidP="001C6236">
      <w:pPr>
        <w:pStyle w:val="cc"/>
        <w:shd w:val="clear" w:color="auto" w:fill="FFFFFF"/>
        <w:spacing w:before="0" w:beforeAutospacing="0" w:after="220" w:afterAutospacing="0" w:line="235" w:lineRule="atLeast"/>
        <w:jc w:val="both"/>
        <w:rPr>
          <w:rFonts w:asciiTheme="minorHAnsi" w:hAnsiTheme="minorHAnsi" w:cstheme="minorHAnsi"/>
          <w:color w:val="000000"/>
          <w:sz w:val="20"/>
          <w:szCs w:val="20"/>
        </w:rPr>
      </w:pPr>
      <w:r w:rsidRPr="00660431">
        <w:rPr>
          <w:rStyle w:val="bh"/>
          <w:rFonts w:asciiTheme="minorHAnsi" w:hAnsiTheme="minorHAnsi" w:cstheme="minorHAnsi"/>
          <w:color w:val="000000"/>
          <w:sz w:val="20"/>
          <w:szCs w:val="20"/>
        </w:rPr>
        <w:t>Science in Sport plc is a leading sports nutrition business that develops, manufactures and markets innovative nutrition products for professional athletes, sports and fitness enthusiasts and the gym lifestyle community. The Company has two highly regarded brands: PhD Nutrition, a premium protein brand targeting gym lifestyle and sports enthusiasts, and SiS, a leading brand among elite athletes and professional sports teams.</w:t>
      </w:r>
    </w:p>
    <w:p w14:paraId="2F6BEE13" w14:textId="77777777" w:rsidR="001C6236" w:rsidRPr="00660431" w:rsidRDefault="001C6236" w:rsidP="001C6236">
      <w:pPr>
        <w:pStyle w:val="cc"/>
        <w:shd w:val="clear" w:color="auto" w:fill="FFFFFF"/>
        <w:spacing w:before="0" w:beforeAutospacing="0" w:after="220" w:afterAutospacing="0" w:line="235" w:lineRule="atLeast"/>
        <w:jc w:val="both"/>
        <w:rPr>
          <w:rFonts w:asciiTheme="minorHAnsi" w:hAnsiTheme="minorHAnsi" w:cstheme="minorHAnsi"/>
          <w:color w:val="000000"/>
          <w:sz w:val="20"/>
          <w:szCs w:val="20"/>
        </w:rPr>
      </w:pPr>
      <w:r w:rsidRPr="00660431">
        <w:rPr>
          <w:rStyle w:val="bh"/>
          <w:rFonts w:asciiTheme="minorHAnsi" w:hAnsiTheme="minorHAnsi" w:cstheme="minorHAnsi"/>
          <w:color w:val="000000"/>
          <w:sz w:val="20"/>
          <w:szCs w:val="20"/>
        </w:rPr>
        <w:t xml:space="preserve">The two brands are sold internationally through multiple retail channels, both traditional and online, including major supermarkets and high street chains, specialist sports retailers and e-commerce sites including Amazon and the brands' own websites.  </w:t>
      </w:r>
      <w:r>
        <w:rPr>
          <w:rStyle w:val="bh"/>
          <w:rFonts w:asciiTheme="minorHAnsi" w:hAnsiTheme="minorHAnsi" w:cstheme="minorHAnsi"/>
          <w:color w:val="000000"/>
          <w:sz w:val="20"/>
          <w:szCs w:val="20"/>
        </w:rPr>
        <w:t xml:space="preserve">Selling through </w:t>
      </w:r>
      <w:r w:rsidRPr="001D30B8">
        <w:rPr>
          <w:rStyle w:val="bh"/>
          <w:rFonts w:asciiTheme="minorHAnsi" w:hAnsiTheme="minorHAnsi" w:cstheme="minorHAnsi"/>
          <w:color w:val="000000"/>
          <w:sz w:val="20"/>
          <w:szCs w:val="20"/>
        </w:rPr>
        <w:t>multiple retail channels</w:t>
      </w:r>
      <w:r w:rsidRPr="001D30B8" w:rsidDel="001D30B8">
        <w:rPr>
          <w:rStyle w:val="bh"/>
          <w:rFonts w:asciiTheme="minorHAnsi" w:hAnsiTheme="minorHAnsi" w:cstheme="minorHAnsi"/>
          <w:color w:val="000000"/>
          <w:sz w:val="20"/>
          <w:szCs w:val="20"/>
        </w:rPr>
        <w:t xml:space="preserve"> </w:t>
      </w:r>
      <w:r w:rsidRPr="00660431">
        <w:rPr>
          <w:rStyle w:val="bh"/>
          <w:rFonts w:asciiTheme="minorHAnsi" w:hAnsiTheme="minorHAnsi" w:cstheme="minorHAnsi"/>
          <w:color w:val="000000"/>
          <w:sz w:val="20"/>
          <w:szCs w:val="20"/>
        </w:rPr>
        <w:t>enable</w:t>
      </w:r>
      <w:r>
        <w:rPr>
          <w:rStyle w:val="bh"/>
          <w:rFonts w:asciiTheme="minorHAnsi" w:hAnsiTheme="minorHAnsi" w:cstheme="minorHAnsi"/>
          <w:color w:val="000000"/>
          <w:sz w:val="20"/>
          <w:szCs w:val="20"/>
        </w:rPr>
        <w:t>s</w:t>
      </w:r>
      <w:r w:rsidRPr="00660431">
        <w:rPr>
          <w:rStyle w:val="bh"/>
          <w:rFonts w:asciiTheme="minorHAnsi" w:hAnsiTheme="minorHAnsi" w:cstheme="minorHAnsi"/>
          <w:color w:val="000000"/>
          <w:sz w:val="20"/>
          <w:szCs w:val="20"/>
        </w:rPr>
        <w:t xml:space="preserve"> the Company to address the full breadth of the performance nutrition market currently estimated at approximately £1</w:t>
      </w:r>
      <w:r>
        <w:rPr>
          <w:rStyle w:val="bh"/>
          <w:rFonts w:asciiTheme="minorHAnsi" w:hAnsiTheme="minorHAnsi" w:cstheme="minorHAnsi"/>
          <w:color w:val="000000"/>
          <w:sz w:val="20"/>
          <w:szCs w:val="20"/>
        </w:rPr>
        <w:t>1</w:t>
      </w:r>
      <w:r w:rsidRPr="00660431">
        <w:rPr>
          <w:rStyle w:val="bh"/>
          <w:rFonts w:asciiTheme="minorHAnsi" w:hAnsiTheme="minorHAnsi" w:cstheme="minorHAnsi"/>
          <w:color w:val="000000"/>
          <w:sz w:val="20"/>
          <w:szCs w:val="20"/>
        </w:rPr>
        <w:t xml:space="preserve"> billion worldwide.</w:t>
      </w:r>
    </w:p>
    <w:p w14:paraId="5A992871" w14:textId="77777777" w:rsidR="001C6236" w:rsidRPr="00660431" w:rsidRDefault="001C6236" w:rsidP="001C6236">
      <w:pPr>
        <w:pStyle w:val="cc"/>
        <w:shd w:val="clear" w:color="auto" w:fill="FFFFFF"/>
        <w:spacing w:before="0" w:beforeAutospacing="0" w:after="220" w:afterAutospacing="0" w:line="235" w:lineRule="atLeast"/>
        <w:jc w:val="both"/>
        <w:rPr>
          <w:rFonts w:asciiTheme="minorHAnsi" w:hAnsiTheme="minorHAnsi" w:cstheme="minorHAnsi"/>
          <w:color w:val="000000"/>
          <w:sz w:val="20"/>
          <w:szCs w:val="20"/>
        </w:rPr>
      </w:pPr>
      <w:r w:rsidRPr="00660431">
        <w:rPr>
          <w:rStyle w:val="bh"/>
          <w:rFonts w:asciiTheme="minorHAnsi" w:hAnsiTheme="minorHAnsi" w:cstheme="minorHAnsi"/>
          <w:color w:val="000000"/>
          <w:sz w:val="20"/>
          <w:szCs w:val="20"/>
        </w:rPr>
        <w:t xml:space="preserve">PhD is one of the UK's leading protein brands with a reputation for high quality and product innovation. </w:t>
      </w:r>
      <w:r>
        <w:rPr>
          <w:rStyle w:val="bh"/>
          <w:rFonts w:asciiTheme="minorHAnsi" w:hAnsiTheme="minorHAnsi" w:cstheme="minorHAnsi"/>
          <w:color w:val="000000"/>
          <w:sz w:val="20"/>
          <w:szCs w:val="20"/>
        </w:rPr>
        <w:t>S</w:t>
      </w:r>
      <w:r w:rsidRPr="00660431">
        <w:rPr>
          <w:rStyle w:val="bh"/>
          <w:rFonts w:asciiTheme="minorHAnsi" w:hAnsiTheme="minorHAnsi" w:cstheme="minorHAnsi"/>
          <w:color w:val="000000"/>
          <w:sz w:val="20"/>
          <w:szCs w:val="20"/>
        </w:rPr>
        <w:t xml:space="preserve">ince </w:t>
      </w:r>
      <w:r>
        <w:rPr>
          <w:rStyle w:val="bh"/>
          <w:rFonts w:asciiTheme="minorHAnsi" w:hAnsiTheme="minorHAnsi" w:cstheme="minorHAnsi"/>
          <w:color w:val="000000"/>
          <w:sz w:val="20"/>
          <w:szCs w:val="20"/>
        </w:rPr>
        <w:t xml:space="preserve">its </w:t>
      </w:r>
      <w:r w:rsidRPr="00660431">
        <w:rPr>
          <w:rStyle w:val="bh"/>
          <w:rFonts w:asciiTheme="minorHAnsi" w:hAnsiTheme="minorHAnsi" w:cstheme="minorHAnsi"/>
          <w:color w:val="000000"/>
          <w:sz w:val="20"/>
          <w:szCs w:val="20"/>
        </w:rPr>
        <w:t>launch in 2005</w:t>
      </w:r>
      <w:r>
        <w:rPr>
          <w:rStyle w:val="bh"/>
          <w:rFonts w:asciiTheme="minorHAnsi" w:hAnsiTheme="minorHAnsi" w:cstheme="minorHAnsi"/>
          <w:color w:val="000000"/>
          <w:sz w:val="20"/>
          <w:szCs w:val="20"/>
        </w:rPr>
        <w:t>, t</w:t>
      </w:r>
      <w:r w:rsidRPr="00660431">
        <w:rPr>
          <w:rStyle w:val="bh"/>
          <w:rFonts w:asciiTheme="minorHAnsi" w:hAnsiTheme="minorHAnsi" w:cstheme="minorHAnsi"/>
          <w:color w:val="000000"/>
          <w:sz w:val="20"/>
          <w:szCs w:val="20"/>
        </w:rPr>
        <w:t>he brand has grown rapidly, based on its core protein powders. The range now comprises powders, bars, flapjacks, drinks and other products including the high protein, low sugar range, PhD Smart. PhD</w:t>
      </w:r>
      <w:r>
        <w:rPr>
          <w:rStyle w:val="bh"/>
          <w:rFonts w:asciiTheme="minorHAnsi" w:hAnsiTheme="minorHAnsi" w:cstheme="minorHAnsi"/>
          <w:color w:val="000000"/>
          <w:sz w:val="20"/>
          <w:szCs w:val="20"/>
        </w:rPr>
        <w:t xml:space="preserve"> </w:t>
      </w:r>
      <w:r w:rsidRPr="00660431">
        <w:rPr>
          <w:rStyle w:val="bh"/>
          <w:rFonts w:asciiTheme="minorHAnsi" w:hAnsiTheme="minorHAnsi" w:cstheme="minorHAnsi"/>
          <w:color w:val="000000"/>
          <w:sz w:val="20"/>
          <w:szCs w:val="20"/>
        </w:rPr>
        <w:t xml:space="preserve"> brand ambassadors include </w:t>
      </w:r>
      <w:r>
        <w:rPr>
          <w:rStyle w:val="bh"/>
          <w:rFonts w:asciiTheme="minorHAnsi" w:hAnsiTheme="minorHAnsi" w:cstheme="minorHAnsi"/>
          <w:color w:val="000000"/>
          <w:sz w:val="20"/>
          <w:szCs w:val="20"/>
        </w:rPr>
        <w:t xml:space="preserve">extreme fitness athlete Ross Edgley, </w:t>
      </w:r>
      <w:r w:rsidRPr="00660431">
        <w:rPr>
          <w:rStyle w:val="bh"/>
          <w:rFonts w:asciiTheme="minorHAnsi" w:hAnsiTheme="minorHAnsi" w:cstheme="minorHAnsi"/>
          <w:color w:val="000000"/>
          <w:sz w:val="20"/>
          <w:szCs w:val="20"/>
        </w:rPr>
        <w:t>rapper Bugzy Malone, WBA international champion Jordan Gill and Team GB Olympic sprinter Asha Philip.</w:t>
      </w:r>
    </w:p>
    <w:p w14:paraId="40B15336" w14:textId="77777777" w:rsidR="001C6236" w:rsidRPr="00660431" w:rsidRDefault="001C6236" w:rsidP="001C6236">
      <w:pPr>
        <w:pStyle w:val="cc"/>
        <w:shd w:val="clear" w:color="auto" w:fill="FFFFFF"/>
        <w:spacing w:before="0" w:beforeAutospacing="0" w:after="220" w:afterAutospacing="0" w:line="235" w:lineRule="atLeast"/>
        <w:jc w:val="both"/>
        <w:rPr>
          <w:rFonts w:asciiTheme="minorHAnsi" w:hAnsiTheme="minorHAnsi" w:cstheme="minorHAnsi"/>
          <w:color w:val="000000"/>
          <w:sz w:val="20"/>
          <w:szCs w:val="20"/>
        </w:rPr>
      </w:pPr>
      <w:r w:rsidRPr="00660431">
        <w:rPr>
          <w:rStyle w:val="bh"/>
          <w:rFonts w:asciiTheme="minorHAnsi" w:hAnsiTheme="minorHAnsi" w:cstheme="minorHAnsi"/>
          <w:color w:val="000000"/>
          <w:sz w:val="20"/>
          <w:szCs w:val="20"/>
        </w:rPr>
        <w:t>SiS, founded in 1992, has a core range comprising gels, powders and bars focused on energy, hydration and endurance. SiS is the official sports nutrition supplier to many professional cycling teams and organisations including Team INEOS, British Cycling, Cycling Australia, USA Cycling and USA Triathlon. SiS supplies more than 100 professional football clubs in the UK and Europe and is an official partner to the Rock 'n' Roll Marathon Series. SiS brand ambassadors include Olympians Sir Chris Hoy MBE, Mark Cavendish MBE and Adam Peaty MBE.</w:t>
      </w:r>
    </w:p>
    <w:p w14:paraId="6DD2287D" w14:textId="77777777" w:rsidR="001C6236" w:rsidRPr="00660431" w:rsidRDefault="001C6236" w:rsidP="001C6236">
      <w:pPr>
        <w:pStyle w:val="cc"/>
        <w:shd w:val="clear" w:color="auto" w:fill="FFFFFF"/>
        <w:spacing w:before="0" w:beforeAutospacing="0" w:after="220" w:afterAutospacing="0" w:line="235" w:lineRule="atLeast"/>
        <w:jc w:val="both"/>
        <w:rPr>
          <w:rFonts w:asciiTheme="minorHAnsi" w:hAnsiTheme="minorHAnsi" w:cstheme="minorHAnsi"/>
          <w:color w:val="000000"/>
          <w:sz w:val="20"/>
          <w:szCs w:val="20"/>
        </w:rPr>
      </w:pPr>
      <w:r w:rsidRPr="00660431">
        <w:rPr>
          <w:rStyle w:val="bh"/>
          <w:rFonts w:asciiTheme="minorHAnsi" w:hAnsiTheme="minorHAnsi" w:cstheme="minorHAnsi"/>
          <w:color w:val="000000"/>
          <w:sz w:val="20"/>
          <w:szCs w:val="20"/>
        </w:rPr>
        <w:t>Science in Sport is headquartered in London. Its shares joined the AIM market of the London Stock Exchange in August 2013 and trade under the ticker symbol SIS.</w:t>
      </w:r>
    </w:p>
    <w:p w14:paraId="32683680" w14:textId="77777777" w:rsidR="001C6236" w:rsidRPr="00660431" w:rsidRDefault="001C6236" w:rsidP="001C6236">
      <w:pPr>
        <w:rPr>
          <w:rStyle w:val="Hyperlink"/>
          <w:rFonts w:cstheme="minorHAnsi"/>
          <w:sz w:val="20"/>
          <w:szCs w:val="20"/>
        </w:rPr>
      </w:pPr>
      <w:r w:rsidRPr="00660431">
        <w:rPr>
          <w:rStyle w:val="bh"/>
          <w:rFonts w:cstheme="minorHAnsi"/>
          <w:color w:val="000000"/>
          <w:sz w:val="20"/>
          <w:szCs w:val="20"/>
        </w:rPr>
        <w:t xml:space="preserve">For further information, please visit </w:t>
      </w:r>
      <w:hyperlink r:id="rId9" w:history="1">
        <w:r w:rsidRPr="00660431">
          <w:rPr>
            <w:rStyle w:val="Hyperlink"/>
            <w:rFonts w:cstheme="minorHAnsi"/>
            <w:sz w:val="20"/>
            <w:szCs w:val="20"/>
          </w:rPr>
          <w:t>www.scienceinsport.com</w:t>
        </w:r>
      </w:hyperlink>
    </w:p>
    <w:p w14:paraId="62FFA656" w14:textId="77777777" w:rsidR="001C6236" w:rsidRPr="00660431" w:rsidRDefault="001C6236" w:rsidP="001C6236">
      <w:pPr>
        <w:rPr>
          <w:rStyle w:val="Hyperlink"/>
          <w:rFonts w:cstheme="minorHAnsi"/>
          <w:sz w:val="20"/>
          <w:szCs w:val="20"/>
        </w:rPr>
      </w:pPr>
    </w:p>
    <w:p w14:paraId="049D2948" w14:textId="77777777" w:rsidR="001C6236" w:rsidRDefault="001C6236" w:rsidP="001C6236">
      <w:pPr>
        <w:rPr>
          <w:rStyle w:val="bh"/>
          <w:rFonts w:cstheme="minorHAnsi"/>
          <w:b/>
          <w:bCs/>
          <w:color w:val="000000"/>
          <w:sz w:val="20"/>
          <w:szCs w:val="20"/>
        </w:rPr>
      </w:pPr>
    </w:p>
    <w:p w14:paraId="1C45622F" w14:textId="77777777" w:rsidR="001C6236" w:rsidRPr="00FF7390" w:rsidRDefault="001C6236" w:rsidP="001C6236">
      <w:pPr>
        <w:rPr>
          <w:rStyle w:val="bh"/>
          <w:rFonts w:cstheme="minorHAnsi"/>
          <w:b/>
          <w:bCs/>
          <w:color w:val="000000"/>
          <w:sz w:val="20"/>
          <w:szCs w:val="20"/>
        </w:rPr>
      </w:pPr>
      <w:r w:rsidRPr="00FF7390">
        <w:rPr>
          <w:rStyle w:val="bh"/>
          <w:rFonts w:cstheme="minorHAnsi"/>
          <w:b/>
          <w:bCs/>
          <w:color w:val="000000"/>
          <w:sz w:val="20"/>
          <w:szCs w:val="20"/>
        </w:rPr>
        <w:t>CHAIRMAN’S STATEMENT</w:t>
      </w:r>
    </w:p>
    <w:p w14:paraId="2CD4734D" w14:textId="77777777" w:rsidR="001C6236" w:rsidRDefault="001C6236" w:rsidP="001C6236">
      <w:pPr>
        <w:jc w:val="both"/>
        <w:rPr>
          <w:rFonts w:cstheme="minorHAnsi"/>
          <w:sz w:val="20"/>
          <w:szCs w:val="20"/>
        </w:rPr>
      </w:pPr>
      <w:r w:rsidRPr="00D2313B">
        <w:rPr>
          <w:rStyle w:val="bh"/>
          <w:rFonts w:cstheme="minorHAnsi"/>
          <w:color w:val="000000"/>
          <w:sz w:val="20"/>
          <w:szCs w:val="20"/>
        </w:rPr>
        <w:t xml:space="preserve">“2019 was a transformational year for the Group. We successfully integrated the commercial, operational and online elements of PhD, whilst delivering record revenue growth. </w:t>
      </w:r>
      <w:r w:rsidRPr="00D2313B">
        <w:rPr>
          <w:rFonts w:cstheme="minorHAnsi"/>
          <w:sz w:val="20"/>
          <w:szCs w:val="20"/>
        </w:rPr>
        <w:t xml:space="preserve">Our strategy of investment in brand equity and science-led product innovation for both of our premium brands remains unchanged. </w:t>
      </w:r>
      <w:r>
        <w:rPr>
          <w:rFonts w:cstheme="minorHAnsi"/>
          <w:sz w:val="20"/>
          <w:szCs w:val="20"/>
        </w:rPr>
        <w:t xml:space="preserve">Strategic routes to market are </w:t>
      </w:r>
      <w:r w:rsidRPr="00D2313B">
        <w:rPr>
          <w:rFonts w:cstheme="minorHAnsi"/>
          <w:sz w:val="20"/>
          <w:szCs w:val="20"/>
        </w:rPr>
        <w:t xml:space="preserve">e-commerce and international </w:t>
      </w:r>
      <w:r>
        <w:rPr>
          <w:rFonts w:cstheme="minorHAnsi"/>
          <w:sz w:val="20"/>
          <w:szCs w:val="20"/>
        </w:rPr>
        <w:t xml:space="preserve">and we have invested in both of these areas, to position the business to be a </w:t>
      </w:r>
      <w:r w:rsidRPr="00D2313B">
        <w:rPr>
          <w:rFonts w:cstheme="minorHAnsi"/>
          <w:sz w:val="20"/>
          <w:szCs w:val="20"/>
        </w:rPr>
        <w:t>global leader in premium performance nutrition.</w:t>
      </w:r>
    </w:p>
    <w:p w14:paraId="6D581CB9" w14:textId="77777777" w:rsidR="001C6236" w:rsidRPr="00D2313B" w:rsidRDefault="001C6236" w:rsidP="001C6236">
      <w:pPr>
        <w:jc w:val="both"/>
        <w:rPr>
          <w:rStyle w:val="Hyperlink"/>
          <w:rFonts w:cstheme="minorHAnsi"/>
          <w:sz w:val="20"/>
          <w:szCs w:val="20"/>
        </w:rPr>
      </w:pPr>
      <w:r>
        <w:rPr>
          <w:rFonts w:cstheme="minorHAnsi"/>
          <w:sz w:val="20"/>
          <w:szCs w:val="20"/>
        </w:rPr>
        <w:t>We are in uncertain times given the current Covid-19 crisis and the Board are working closely with the executive management team on contingency planning.</w:t>
      </w:r>
      <w:r w:rsidRPr="00D2313B">
        <w:rPr>
          <w:rFonts w:cstheme="minorHAnsi"/>
          <w:sz w:val="20"/>
          <w:szCs w:val="20"/>
        </w:rPr>
        <w:t>”</w:t>
      </w:r>
    </w:p>
    <w:p w14:paraId="6852D78C" w14:textId="77777777" w:rsidR="001C6236" w:rsidRPr="00D2313B" w:rsidRDefault="001C6236" w:rsidP="001C6236">
      <w:pPr>
        <w:rPr>
          <w:rFonts w:cstheme="minorHAnsi"/>
          <w:b/>
          <w:bCs/>
          <w:sz w:val="20"/>
          <w:szCs w:val="20"/>
        </w:rPr>
      </w:pPr>
      <w:r w:rsidRPr="00D2313B">
        <w:rPr>
          <w:rFonts w:cstheme="minorHAnsi"/>
          <w:b/>
          <w:bCs/>
          <w:sz w:val="20"/>
          <w:szCs w:val="20"/>
        </w:rPr>
        <w:t xml:space="preserve">Overview </w:t>
      </w:r>
    </w:p>
    <w:p w14:paraId="4D23F6E4" w14:textId="77777777" w:rsidR="001C6236" w:rsidRPr="00D2313B" w:rsidRDefault="001C6236" w:rsidP="001C6236">
      <w:pPr>
        <w:jc w:val="both"/>
        <w:rPr>
          <w:rFonts w:cstheme="minorHAnsi"/>
          <w:sz w:val="20"/>
          <w:szCs w:val="20"/>
        </w:rPr>
      </w:pPr>
      <w:r w:rsidRPr="00D2313B">
        <w:rPr>
          <w:rFonts w:cstheme="minorHAnsi"/>
          <w:sz w:val="20"/>
          <w:szCs w:val="20"/>
        </w:rPr>
        <w:t>We are delighted to announce another strong set of results for the year ended 31 December 2019. Group revenue was £50.6m, 23% ahead of the same period in 2018 on a pro forma basis</w:t>
      </w:r>
      <w:r w:rsidRPr="00D2313B">
        <w:rPr>
          <w:rFonts w:cstheme="minorHAnsi"/>
          <w:sz w:val="20"/>
          <w:szCs w:val="20"/>
          <w:vertAlign w:val="superscript"/>
        </w:rPr>
        <w:t>1</w:t>
      </w:r>
      <w:r w:rsidRPr="00D2313B">
        <w:rPr>
          <w:rFonts w:cstheme="minorHAnsi"/>
          <w:sz w:val="20"/>
          <w:szCs w:val="20"/>
        </w:rPr>
        <w:t>.</w:t>
      </w:r>
    </w:p>
    <w:p w14:paraId="77C36B48" w14:textId="77777777" w:rsidR="001C6236" w:rsidRPr="00D2313B" w:rsidRDefault="001C6236" w:rsidP="001C6236">
      <w:pPr>
        <w:jc w:val="both"/>
        <w:rPr>
          <w:rFonts w:cstheme="minorHAnsi"/>
          <w:sz w:val="20"/>
          <w:szCs w:val="20"/>
        </w:rPr>
      </w:pPr>
      <w:r w:rsidRPr="00D2313B">
        <w:rPr>
          <w:rFonts w:cstheme="minorHAnsi"/>
          <w:sz w:val="20"/>
          <w:szCs w:val="20"/>
        </w:rPr>
        <w:t>Underlying operating loss</w:t>
      </w:r>
      <w:r w:rsidRPr="00D2313B">
        <w:rPr>
          <w:rFonts w:cstheme="minorHAnsi"/>
          <w:sz w:val="20"/>
          <w:szCs w:val="20"/>
          <w:vertAlign w:val="superscript"/>
        </w:rPr>
        <w:t>2</w:t>
      </w:r>
      <w:r w:rsidRPr="00D2313B">
        <w:rPr>
          <w:rFonts w:cstheme="minorHAnsi"/>
          <w:sz w:val="20"/>
          <w:szCs w:val="20"/>
        </w:rPr>
        <w:t xml:space="preserve"> was £0.3m (2018: loss of £2.7m) in line with market expectations and reflected continued investment in our online and international businesses. Reported loss before tax was £5.1m (2018: loss of £6.0m).</w:t>
      </w:r>
    </w:p>
    <w:p w14:paraId="1EF79CEC" w14:textId="77777777" w:rsidR="001C6236" w:rsidRPr="00D2313B" w:rsidRDefault="001C6236" w:rsidP="001C6236">
      <w:pPr>
        <w:jc w:val="both"/>
        <w:rPr>
          <w:rFonts w:cstheme="minorHAnsi"/>
          <w:sz w:val="20"/>
          <w:szCs w:val="20"/>
        </w:rPr>
      </w:pPr>
      <w:r w:rsidRPr="00D2313B">
        <w:rPr>
          <w:rFonts w:cstheme="minorHAnsi"/>
          <w:sz w:val="20"/>
          <w:szCs w:val="20"/>
        </w:rPr>
        <w:t>Our cash position remains strong with a year-end balance of £5.4m (2018: £8.0m).</w:t>
      </w:r>
    </w:p>
    <w:p w14:paraId="1C4BD5A4" w14:textId="77777777" w:rsidR="001C6236" w:rsidRPr="00D2313B" w:rsidRDefault="001C6236" w:rsidP="001C6236">
      <w:pPr>
        <w:jc w:val="both"/>
        <w:rPr>
          <w:rFonts w:cstheme="minorHAnsi"/>
          <w:sz w:val="20"/>
          <w:szCs w:val="20"/>
        </w:rPr>
      </w:pPr>
      <w:r w:rsidRPr="00D2313B">
        <w:rPr>
          <w:rFonts w:cstheme="minorHAnsi"/>
          <w:sz w:val="20"/>
          <w:szCs w:val="20"/>
        </w:rPr>
        <w:t>Our long-term priority continues to be further developing the e-commerce opportunity and seeking strong growth in international markets. Science-led innovation will continue to be a growth driver for the business.</w:t>
      </w:r>
    </w:p>
    <w:p w14:paraId="244FA821" w14:textId="77777777" w:rsidR="001C6236" w:rsidRPr="00D2313B" w:rsidRDefault="001C6236" w:rsidP="001C6236">
      <w:pPr>
        <w:jc w:val="both"/>
        <w:rPr>
          <w:rFonts w:cstheme="minorHAnsi"/>
          <w:sz w:val="20"/>
          <w:szCs w:val="20"/>
        </w:rPr>
      </w:pPr>
      <w:r w:rsidRPr="00D2313B">
        <w:rPr>
          <w:rFonts w:cstheme="minorHAnsi"/>
          <w:sz w:val="20"/>
          <w:szCs w:val="20"/>
        </w:rPr>
        <w:t>We continue to see further margin improvement opportunities from supply chain optimisation following the integration of PhD and favourable channel and product mix.</w:t>
      </w:r>
    </w:p>
    <w:p w14:paraId="1EF1D2A1" w14:textId="77777777" w:rsidR="001C6236" w:rsidRPr="00D2313B" w:rsidRDefault="001C6236" w:rsidP="001C6236">
      <w:pPr>
        <w:jc w:val="both"/>
        <w:rPr>
          <w:rFonts w:cstheme="minorHAnsi"/>
          <w:sz w:val="20"/>
          <w:szCs w:val="20"/>
        </w:rPr>
      </w:pPr>
      <w:r w:rsidRPr="00D2313B">
        <w:rPr>
          <w:rFonts w:cstheme="minorHAnsi"/>
          <w:sz w:val="20"/>
          <w:szCs w:val="20"/>
        </w:rPr>
        <w:t xml:space="preserve">The Board continues to be focused on building shareholder value through improving profitability and driving our strategic growth markets towards profitability. </w:t>
      </w:r>
    </w:p>
    <w:p w14:paraId="3E2A3FC2" w14:textId="77777777" w:rsidR="001C6236" w:rsidRPr="00D2313B" w:rsidRDefault="001C6236" w:rsidP="001C6236">
      <w:pPr>
        <w:jc w:val="both"/>
        <w:rPr>
          <w:rFonts w:cstheme="minorHAnsi"/>
          <w:sz w:val="20"/>
          <w:szCs w:val="20"/>
        </w:rPr>
      </w:pPr>
      <w:r w:rsidRPr="00D2313B">
        <w:rPr>
          <w:rFonts w:cstheme="minorHAnsi"/>
          <w:sz w:val="20"/>
          <w:szCs w:val="20"/>
        </w:rPr>
        <w:t xml:space="preserve">Our strategy remains unchanged, focusing on science-led innovation, building brand equity, taking our share of e-commerce business and developing global markets. </w:t>
      </w:r>
    </w:p>
    <w:p w14:paraId="75DCC413" w14:textId="77777777" w:rsidR="001C6236" w:rsidRPr="00D2313B" w:rsidRDefault="001C6236" w:rsidP="001C6236">
      <w:pPr>
        <w:rPr>
          <w:rFonts w:cstheme="minorHAnsi"/>
          <w:b/>
          <w:bCs/>
          <w:sz w:val="20"/>
          <w:szCs w:val="20"/>
        </w:rPr>
      </w:pPr>
      <w:r w:rsidRPr="00D2313B">
        <w:rPr>
          <w:rFonts w:cstheme="minorHAnsi"/>
          <w:b/>
          <w:bCs/>
          <w:sz w:val="20"/>
          <w:szCs w:val="20"/>
        </w:rPr>
        <w:t xml:space="preserve">Our people </w:t>
      </w:r>
    </w:p>
    <w:p w14:paraId="315AFB7F" w14:textId="77777777" w:rsidR="001C6236" w:rsidRPr="00D2313B" w:rsidRDefault="001C6236" w:rsidP="001C6236">
      <w:pPr>
        <w:jc w:val="both"/>
        <w:rPr>
          <w:rFonts w:cstheme="minorHAnsi"/>
          <w:sz w:val="20"/>
          <w:szCs w:val="20"/>
        </w:rPr>
      </w:pPr>
      <w:r w:rsidRPr="00D2313B">
        <w:rPr>
          <w:rFonts w:cstheme="minorHAnsi"/>
          <w:sz w:val="20"/>
          <w:szCs w:val="20"/>
        </w:rPr>
        <w:t xml:space="preserve">The continued strength of the Group is due to the hard work and dedication of all the people who work for our PhD and SiS brands. I would like to thank them all for their contribution, especially for the commitment and focus they have shown throughout this year, during the integration of the PhD business and for delivering another sector leading performance. </w:t>
      </w:r>
    </w:p>
    <w:p w14:paraId="0A6F14E0" w14:textId="77777777" w:rsidR="001C6236" w:rsidRPr="00D2313B" w:rsidRDefault="001C6236" w:rsidP="001C6236">
      <w:pPr>
        <w:jc w:val="both"/>
        <w:rPr>
          <w:rFonts w:cstheme="minorHAnsi"/>
          <w:sz w:val="20"/>
          <w:szCs w:val="20"/>
        </w:rPr>
      </w:pPr>
      <w:r w:rsidRPr="00D2313B">
        <w:rPr>
          <w:rFonts w:cstheme="minorHAnsi"/>
          <w:sz w:val="20"/>
          <w:szCs w:val="20"/>
        </w:rPr>
        <w:t xml:space="preserve">This year we have strengthened the executive management team and senior leadership by attracting experienced talent from market-leading businesses to drive the next stage of our growth. In addition, we have   continued to invest in existing employees who are being supported through professional training relevant to their functional areas, as well as other relevant role-specific training. </w:t>
      </w:r>
    </w:p>
    <w:p w14:paraId="628091C4" w14:textId="77777777" w:rsidR="001C6236" w:rsidRPr="00D2313B" w:rsidRDefault="001C6236" w:rsidP="001C6236">
      <w:pPr>
        <w:rPr>
          <w:rFonts w:cstheme="minorHAnsi"/>
          <w:b/>
          <w:bCs/>
          <w:sz w:val="20"/>
          <w:szCs w:val="20"/>
        </w:rPr>
      </w:pPr>
      <w:r w:rsidRPr="00D2313B">
        <w:rPr>
          <w:rFonts w:cstheme="minorHAnsi"/>
          <w:b/>
          <w:bCs/>
          <w:sz w:val="20"/>
          <w:szCs w:val="20"/>
        </w:rPr>
        <w:t>Development of the Board</w:t>
      </w:r>
    </w:p>
    <w:p w14:paraId="7964F579" w14:textId="77777777" w:rsidR="001C6236" w:rsidRPr="00D2313B" w:rsidRDefault="001C6236" w:rsidP="001C6236">
      <w:pPr>
        <w:jc w:val="both"/>
        <w:rPr>
          <w:rFonts w:cstheme="minorHAnsi"/>
          <w:sz w:val="20"/>
          <w:szCs w:val="20"/>
        </w:rPr>
      </w:pPr>
      <w:r w:rsidRPr="00D2313B">
        <w:rPr>
          <w:rFonts w:cstheme="minorHAnsi"/>
          <w:sz w:val="20"/>
          <w:szCs w:val="20"/>
        </w:rPr>
        <w:t xml:space="preserve">It is the Board's task to ensure the Group is managed for the long-term benefit of all shareholders, with effective and efficient decision-making. Corporate governance is an important part of that role, reducing risk and adding value to our business. </w:t>
      </w:r>
    </w:p>
    <w:p w14:paraId="312A2B07" w14:textId="77777777" w:rsidR="001C6236" w:rsidRPr="00D2313B" w:rsidRDefault="001C6236" w:rsidP="001C6236">
      <w:pPr>
        <w:jc w:val="both"/>
        <w:rPr>
          <w:rFonts w:cstheme="minorHAnsi"/>
          <w:b/>
          <w:bCs/>
          <w:sz w:val="20"/>
          <w:szCs w:val="20"/>
        </w:rPr>
      </w:pPr>
      <w:r w:rsidRPr="00D2313B">
        <w:rPr>
          <w:rFonts w:cstheme="minorHAnsi"/>
          <w:sz w:val="20"/>
          <w:szCs w:val="20"/>
        </w:rPr>
        <w:t>Since the period end the Company has appointed Roger Mather to the Board and nominated him as Chair of the Audit Committee. Tim Wright, an existing Board member, has been nominated as Chair of the Remuneration Committee.</w:t>
      </w:r>
    </w:p>
    <w:p w14:paraId="39C17FFD" w14:textId="77777777" w:rsidR="001C6236" w:rsidRPr="00D2313B" w:rsidRDefault="001C6236" w:rsidP="001C6236">
      <w:pPr>
        <w:jc w:val="both"/>
        <w:rPr>
          <w:rFonts w:cstheme="minorHAnsi"/>
          <w:sz w:val="20"/>
          <w:szCs w:val="20"/>
        </w:rPr>
      </w:pPr>
      <w:r w:rsidRPr="00D2313B">
        <w:rPr>
          <w:rFonts w:cstheme="minorHAnsi"/>
          <w:sz w:val="20"/>
          <w:szCs w:val="20"/>
        </w:rPr>
        <w:t xml:space="preserve">The culture of the Group is to be entrepreneurial and innovative, always committed and striving for excellence, as our consumers do. Acting responsibly is critical to our business performance and the Group takes its obligations to act responsibly very seriously. </w:t>
      </w:r>
    </w:p>
    <w:p w14:paraId="4F57DB96" w14:textId="77777777" w:rsidR="001C6236" w:rsidRPr="00D2313B" w:rsidRDefault="001C6236" w:rsidP="001C6236">
      <w:pPr>
        <w:jc w:val="both"/>
        <w:rPr>
          <w:rFonts w:cstheme="minorHAnsi"/>
          <w:sz w:val="20"/>
          <w:szCs w:val="20"/>
        </w:rPr>
      </w:pPr>
      <w:r w:rsidRPr="00D2313B">
        <w:rPr>
          <w:rFonts w:cstheme="minorHAnsi"/>
          <w:sz w:val="20"/>
          <w:szCs w:val="20"/>
        </w:rPr>
        <w:t xml:space="preserve">Further detail is included in the Corporate Social Responsibility section of the Annual report but some examples of actions taken to support our values this year include; our market leading banned substance testing programme, the significant investment in innovation and support provided to our employees to help them excel in their chosen sports. </w:t>
      </w:r>
    </w:p>
    <w:p w14:paraId="788FD8B0" w14:textId="77777777" w:rsidR="001C6236" w:rsidRPr="00D2313B" w:rsidRDefault="001C6236" w:rsidP="001C6236">
      <w:pPr>
        <w:rPr>
          <w:rFonts w:cstheme="minorHAnsi"/>
          <w:sz w:val="20"/>
          <w:szCs w:val="20"/>
        </w:rPr>
      </w:pPr>
      <w:r w:rsidRPr="00D2313B">
        <w:rPr>
          <w:rFonts w:cstheme="minorHAnsi"/>
          <w:sz w:val="20"/>
          <w:szCs w:val="20"/>
        </w:rPr>
        <w:t xml:space="preserve">JOHN CLARKE </w:t>
      </w:r>
    </w:p>
    <w:p w14:paraId="4178D7EA" w14:textId="77777777" w:rsidR="001C6236" w:rsidRPr="00D2313B" w:rsidRDefault="001C6236" w:rsidP="001C6236">
      <w:pPr>
        <w:rPr>
          <w:rFonts w:cstheme="minorHAnsi"/>
          <w:sz w:val="20"/>
          <w:szCs w:val="20"/>
        </w:rPr>
      </w:pPr>
      <w:r w:rsidRPr="00D2313B">
        <w:rPr>
          <w:rFonts w:cstheme="minorHAnsi"/>
          <w:sz w:val="20"/>
          <w:szCs w:val="20"/>
        </w:rPr>
        <w:t xml:space="preserve">Non-Executive Chairman </w:t>
      </w:r>
    </w:p>
    <w:p w14:paraId="54000F23" w14:textId="77777777" w:rsidR="001C6236" w:rsidRPr="000A63E6" w:rsidRDefault="001C6236" w:rsidP="001C6236">
      <w:pPr>
        <w:rPr>
          <w:rFonts w:ascii="Arial" w:hAnsi="Arial" w:cs="Arial"/>
        </w:rPr>
      </w:pPr>
      <w:r w:rsidRPr="00D2313B">
        <w:rPr>
          <w:rFonts w:cstheme="minorHAnsi"/>
          <w:sz w:val="20"/>
          <w:szCs w:val="20"/>
        </w:rPr>
        <w:t>17 March 2020</w:t>
      </w:r>
    </w:p>
    <w:p w14:paraId="21519778" w14:textId="77777777" w:rsidR="001C6236" w:rsidRDefault="001C6236" w:rsidP="001C6236">
      <w:pPr>
        <w:rPr>
          <w:sz w:val="20"/>
          <w:szCs w:val="20"/>
        </w:rPr>
      </w:pPr>
    </w:p>
    <w:p w14:paraId="522CA3B2" w14:textId="77777777" w:rsidR="001C6236" w:rsidRPr="00FB1638" w:rsidRDefault="001C6236" w:rsidP="001C6236">
      <w:pPr>
        <w:rPr>
          <w:b/>
          <w:bCs/>
          <w:color w:val="000000" w:themeColor="text1"/>
          <w:sz w:val="20"/>
          <w:szCs w:val="20"/>
        </w:rPr>
      </w:pPr>
      <w:r w:rsidRPr="00FB1638">
        <w:rPr>
          <w:b/>
          <w:bCs/>
          <w:color w:val="000000" w:themeColor="text1"/>
          <w:sz w:val="20"/>
          <w:szCs w:val="20"/>
        </w:rPr>
        <w:t xml:space="preserve">CHIEF EXECUTIVE'S REPORT </w:t>
      </w:r>
    </w:p>
    <w:p w14:paraId="1590B9FC" w14:textId="77777777" w:rsidR="001C6236" w:rsidRPr="00D2313B" w:rsidRDefault="001C6236" w:rsidP="001C6236">
      <w:pPr>
        <w:jc w:val="both"/>
        <w:rPr>
          <w:rFonts w:cstheme="minorHAnsi"/>
          <w:b/>
          <w:bCs/>
          <w:color w:val="000000" w:themeColor="text1"/>
          <w:sz w:val="20"/>
          <w:szCs w:val="20"/>
        </w:rPr>
      </w:pPr>
      <w:r w:rsidRPr="00D2313B">
        <w:rPr>
          <w:rFonts w:cstheme="minorHAnsi"/>
          <w:b/>
          <w:bCs/>
          <w:color w:val="000000" w:themeColor="text1"/>
          <w:sz w:val="20"/>
          <w:szCs w:val="20"/>
        </w:rPr>
        <w:t>Strategic intent</w:t>
      </w:r>
    </w:p>
    <w:p w14:paraId="6C3BB59C" w14:textId="77777777" w:rsidR="001C6236" w:rsidRPr="00D2313B" w:rsidRDefault="001C6236" w:rsidP="001C6236">
      <w:pPr>
        <w:jc w:val="both"/>
        <w:rPr>
          <w:rFonts w:cstheme="minorHAnsi"/>
          <w:sz w:val="20"/>
          <w:szCs w:val="20"/>
        </w:rPr>
      </w:pPr>
      <w:r w:rsidRPr="00D2313B">
        <w:rPr>
          <w:rFonts w:cstheme="minorHAnsi"/>
          <w:color w:val="000000" w:themeColor="text1"/>
          <w:sz w:val="20"/>
          <w:szCs w:val="20"/>
        </w:rPr>
        <w:t xml:space="preserve">Our intent is for the Group to become the world's leading premium performance nutrition business through its PhD and SiS brands. This is underpinned by the following key principles and strategic actions:  </w:t>
      </w:r>
    </w:p>
    <w:p w14:paraId="49B3234C" w14:textId="77777777" w:rsidR="001C6236" w:rsidRPr="00D2313B" w:rsidRDefault="001C6236" w:rsidP="001C6236">
      <w:pPr>
        <w:pStyle w:val="NoSpacing"/>
        <w:numPr>
          <w:ilvl w:val="0"/>
          <w:numId w:val="2"/>
        </w:numPr>
        <w:jc w:val="both"/>
        <w:rPr>
          <w:rFonts w:cstheme="minorHAnsi"/>
          <w:color w:val="000000" w:themeColor="text1"/>
          <w:sz w:val="20"/>
          <w:szCs w:val="20"/>
        </w:rPr>
      </w:pPr>
      <w:r w:rsidRPr="00D2313B">
        <w:rPr>
          <w:rFonts w:cstheme="minorHAnsi"/>
          <w:color w:val="000000" w:themeColor="text1"/>
          <w:sz w:val="20"/>
          <w:szCs w:val="20"/>
        </w:rPr>
        <w:t xml:space="preserve">Continuing to drive growth for both brands through a science and innovation-led pipeline, including current and new technologies and formats; </w:t>
      </w:r>
    </w:p>
    <w:p w14:paraId="785DFDBD" w14:textId="77777777" w:rsidR="001C6236" w:rsidRPr="00D2313B" w:rsidRDefault="001C6236" w:rsidP="001C6236">
      <w:pPr>
        <w:pStyle w:val="NoSpacing"/>
        <w:ind w:left="720"/>
        <w:jc w:val="both"/>
        <w:rPr>
          <w:rFonts w:cstheme="minorHAnsi"/>
          <w:color w:val="000000" w:themeColor="text1"/>
          <w:sz w:val="20"/>
          <w:szCs w:val="20"/>
        </w:rPr>
      </w:pPr>
    </w:p>
    <w:p w14:paraId="48DC216A" w14:textId="77777777" w:rsidR="001C6236" w:rsidRPr="00D2313B" w:rsidRDefault="001C6236" w:rsidP="001C6236">
      <w:pPr>
        <w:pStyle w:val="NoSpacing"/>
        <w:numPr>
          <w:ilvl w:val="0"/>
          <w:numId w:val="2"/>
        </w:numPr>
        <w:jc w:val="both"/>
        <w:rPr>
          <w:rFonts w:cstheme="minorHAnsi"/>
          <w:color w:val="000000" w:themeColor="text1"/>
          <w:sz w:val="20"/>
          <w:szCs w:val="20"/>
        </w:rPr>
      </w:pPr>
      <w:r w:rsidRPr="00D2313B">
        <w:rPr>
          <w:rFonts w:cstheme="minorHAnsi"/>
          <w:color w:val="000000" w:themeColor="text1"/>
          <w:sz w:val="20"/>
          <w:szCs w:val="20"/>
        </w:rPr>
        <w:t xml:space="preserve">Developing the manufacturing facility and international logistics footprint to underpin market leading gross margins; </w:t>
      </w:r>
    </w:p>
    <w:p w14:paraId="3FFAACC2" w14:textId="77777777" w:rsidR="001C6236" w:rsidRPr="00D2313B" w:rsidRDefault="001C6236" w:rsidP="001C6236">
      <w:pPr>
        <w:pStyle w:val="NoSpacing"/>
        <w:jc w:val="both"/>
        <w:rPr>
          <w:rFonts w:cstheme="minorHAnsi"/>
          <w:color w:val="000000" w:themeColor="text1"/>
          <w:sz w:val="20"/>
          <w:szCs w:val="20"/>
        </w:rPr>
      </w:pPr>
    </w:p>
    <w:p w14:paraId="0EC272BC" w14:textId="77777777" w:rsidR="001C6236" w:rsidRPr="00D2313B" w:rsidRDefault="001C6236" w:rsidP="001C6236">
      <w:pPr>
        <w:pStyle w:val="NoSpacing"/>
        <w:numPr>
          <w:ilvl w:val="0"/>
          <w:numId w:val="2"/>
        </w:numPr>
        <w:jc w:val="both"/>
        <w:rPr>
          <w:rFonts w:cstheme="minorHAnsi"/>
          <w:color w:val="000000" w:themeColor="text1"/>
          <w:sz w:val="20"/>
          <w:szCs w:val="20"/>
        </w:rPr>
      </w:pPr>
      <w:r w:rsidRPr="00D2313B">
        <w:rPr>
          <w:rFonts w:cstheme="minorHAnsi"/>
          <w:color w:val="000000" w:themeColor="text1"/>
          <w:sz w:val="20"/>
          <w:szCs w:val="20"/>
        </w:rPr>
        <w:t xml:space="preserve">Continued investment in building the equity in both the PhD and SiS brands to drive sales through increased awareness and usage;  </w:t>
      </w:r>
    </w:p>
    <w:p w14:paraId="54B84B1F" w14:textId="77777777" w:rsidR="001C6236" w:rsidRPr="00D2313B" w:rsidRDefault="001C6236" w:rsidP="001C6236">
      <w:pPr>
        <w:pStyle w:val="NoSpacing"/>
        <w:ind w:left="720"/>
        <w:jc w:val="both"/>
        <w:rPr>
          <w:rFonts w:cstheme="minorHAnsi"/>
          <w:color w:val="000000" w:themeColor="text1"/>
          <w:sz w:val="20"/>
          <w:szCs w:val="20"/>
        </w:rPr>
      </w:pPr>
    </w:p>
    <w:p w14:paraId="3D26C046" w14:textId="77777777" w:rsidR="001C6236" w:rsidRPr="00D2313B" w:rsidRDefault="001C6236" w:rsidP="001C6236">
      <w:pPr>
        <w:pStyle w:val="NoSpacing"/>
        <w:numPr>
          <w:ilvl w:val="0"/>
          <w:numId w:val="2"/>
        </w:numPr>
        <w:jc w:val="both"/>
        <w:rPr>
          <w:rFonts w:cstheme="minorHAnsi"/>
          <w:color w:val="000000" w:themeColor="text1"/>
          <w:sz w:val="20"/>
          <w:szCs w:val="20"/>
        </w:rPr>
      </w:pPr>
      <w:r w:rsidRPr="00D2313B">
        <w:rPr>
          <w:rFonts w:cstheme="minorHAnsi"/>
          <w:color w:val="000000" w:themeColor="text1"/>
          <w:sz w:val="20"/>
          <w:szCs w:val="20"/>
        </w:rPr>
        <w:t>Developing our online business through a combination of our own proven e-commerce platform and key marketplace channels; and</w:t>
      </w:r>
    </w:p>
    <w:p w14:paraId="12AB195F" w14:textId="77777777" w:rsidR="001C6236" w:rsidRPr="00D2313B" w:rsidRDefault="001C6236" w:rsidP="001C6236">
      <w:pPr>
        <w:pStyle w:val="NoSpacing"/>
        <w:ind w:left="720"/>
        <w:jc w:val="both"/>
        <w:rPr>
          <w:rFonts w:cstheme="minorHAnsi"/>
          <w:color w:val="000000" w:themeColor="text1"/>
          <w:sz w:val="20"/>
          <w:szCs w:val="20"/>
        </w:rPr>
      </w:pPr>
    </w:p>
    <w:p w14:paraId="48F9001E" w14:textId="77777777" w:rsidR="001C6236" w:rsidRPr="00D2313B" w:rsidRDefault="001C6236" w:rsidP="001C6236">
      <w:pPr>
        <w:pStyle w:val="NoSpacing"/>
        <w:numPr>
          <w:ilvl w:val="0"/>
          <w:numId w:val="2"/>
        </w:numPr>
        <w:jc w:val="both"/>
        <w:rPr>
          <w:rFonts w:cstheme="minorHAnsi"/>
          <w:color w:val="000000" w:themeColor="text1"/>
          <w:sz w:val="20"/>
          <w:szCs w:val="20"/>
        </w:rPr>
      </w:pPr>
      <w:r w:rsidRPr="00D2313B">
        <w:rPr>
          <w:rFonts w:cstheme="minorHAnsi"/>
          <w:color w:val="000000" w:themeColor="text1"/>
          <w:sz w:val="20"/>
          <w:szCs w:val="20"/>
        </w:rPr>
        <w:t xml:space="preserve">Extending our international presence in all major global markets, using an omni-channel approach to maximise the opportunity.  </w:t>
      </w:r>
    </w:p>
    <w:p w14:paraId="138657FE" w14:textId="77777777" w:rsidR="001C6236" w:rsidRPr="00D2313B" w:rsidRDefault="001C6236" w:rsidP="001C6236">
      <w:pPr>
        <w:pStyle w:val="NoSpacing"/>
        <w:jc w:val="both"/>
        <w:rPr>
          <w:rFonts w:cstheme="minorHAnsi"/>
          <w:color w:val="000000" w:themeColor="text1"/>
          <w:sz w:val="20"/>
          <w:szCs w:val="20"/>
        </w:rPr>
      </w:pPr>
    </w:p>
    <w:p w14:paraId="23EA5DA1" w14:textId="77777777" w:rsidR="001C6236" w:rsidRPr="00D2313B" w:rsidRDefault="001C6236" w:rsidP="001C6236">
      <w:pPr>
        <w:pStyle w:val="NoSpacing"/>
        <w:jc w:val="both"/>
        <w:rPr>
          <w:rFonts w:cstheme="minorHAnsi"/>
          <w:color w:val="000000" w:themeColor="text1"/>
          <w:sz w:val="20"/>
          <w:szCs w:val="20"/>
        </w:rPr>
      </w:pPr>
      <w:r w:rsidRPr="00D2313B">
        <w:rPr>
          <w:rFonts w:cstheme="minorHAnsi"/>
          <w:color w:val="000000" w:themeColor="text1"/>
          <w:sz w:val="20"/>
          <w:szCs w:val="20"/>
        </w:rPr>
        <w:t xml:space="preserve">The Board believes there continues to be a significant growth opportunity, both organic and inorganic, to extend our existing product range and deliver synergies from our distribution, e-commerce and supply chain capabilities. </w:t>
      </w:r>
    </w:p>
    <w:p w14:paraId="71169F5C" w14:textId="77777777" w:rsidR="001C6236" w:rsidRPr="00D2313B" w:rsidRDefault="001C6236" w:rsidP="001C6236">
      <w:pPr>
        <w:pStyle w:val="NoSpacing"/>
        <w:jc w:val="both"/>
      </w:pPr>
    </w:p>
    <w:p w14:paraId="0BEC7D44" w14:textId="77777777" w:rsidR="001C6236" w:rsidRPr="00D2313B" w:rsidRDefault="001C6236" w:rsidP="001C6236">
      <w:pPr>
        <w:rPr>
          <w:rFonts w:cstheme="minorHAnsi"/>
          <w:b/>
          <w:bCs/>
          <w:color w:val="000000" w:themeColor="text1"/>
          <w:sz w:val="20"/>
          <w:szCs w:val="20"/>
        </w:rPr>
      </w:pPr>
      <w:r w:rsidRPr="00D2313B">
        <w:rPr>
          <w:rFonts w:cstheme="minorHAnsi"/>
          <w:b/>
          <w:bCs/>
          <w:color w:val="000000" w:themeColor="text1"/>
          <w:sz w:val="20"/>
          <w:szCs w:val="20"/>
        </w:rPr>
        <w:t>Online</w:t>
      </w:r>
    </w:p>
    <w:p w14:paraId="0A8E6276" w14:textId="77777777" w:rsidR="001C6236" w:rsidRPr="00D2313B" w:rsidRDefault="001C6236" w:rsidP="001C6236">
      <w:pPr>
        <w:jc w:val="both"/>
        <w:rPr>
          <w:rFonts w:cstheme="minorHAnsi"/>
          <w:color w:val="000000" w:themeColor="text1"/>
          <w:sz w:val="20"/>
          <w:szCs w:val="20"/>
        </w:rPr>
      </w:pPr>
      <w:r w:rsidRPr="00D2313B">
        <w:rPr>
          <w:rFonts w:cstheme="minorHAnsi"/>
          <w:color w:val="000000" w:themeColor="text1"/>
          <w:sz w:val="20"/>
          <w:szCs w:val="20"/>
        </w:rPr>
        <w:t>Our PhD.com and scienceinsport.com e-commerce platforms are central to our growth strategy in our key domestic and international markets and we were pleased to deliver revenue of £10.1m, up 39% (pro forma</w:t>
      </w:r>
      <w:r w:rsidRPr="00D2313B">
        <w:rPr>
          <w:rFonts w:cstheme="minorHAnsi"/>
          <w:color w:val="000000" w:themeColor="text1"/>
          <w:sz w:val="20"/>
          <w:szCs w:val="20"/>
          <w:vertAlign w:val="superscript"/>
        </w:rPr>
        <w:t>1</w:t>
      </w:r>
      <w:r w:rsidRPr="00D2313B">
        <w:rPr>
          <w:rFonts w:cstheme="minorHAnsi"/>
          <w:color w:val="000000" w:themeColor="text1"/>
          <w:sz w:val="20"/>
          <w:szCs w:val="20"/>
        </w:rPr>
        <w:t xml:space="preserve">) compared </w:t>
      </w:r>
      <w:r>
        <w:rPr>
          <w:rFonts w:cstheme="minorHAnsi"/>
          <w:color w:val="000000" w:themeColor="text1"/>
          <w:sz w:val="20"/>
          <w:szCs w:val="20"/>
        </w:rPr>
        <w:t>with</w:t>
      </w:r>
      <w:r w:rsidRPr="00D2313B">
        <w:rPr>
          <w:rFonts w:cstheme="minorHAnsi"/>
          <w:color w:val="000000" w:themeColor="text1"/>
          <w:sz w:val="20"/>
          <w:szCs w:val="20"/>
        </w:rPr>
        <w:t xml:space="preserve"> the previous year. Our new PhD.com e-commerce business </w:t>
      </w:r>
      <w:r>
        <w:rPr>
          <w:rFonts w:cstheme="minorHAnsi"/>
          <w:color w:val="000000" w:themeColor="text1"/>
          <w:sz w:val="20"/>
          <w:szCs w:val="20"/>
        </w:rPr>
        <w:t>launched</w:t>
      </w:r>
      <w:r w:rsidRPr="00D2313B">
        <w:rPr>
          <w:rFonts w:cstheme="minorHAnsi"/>
          <w:color w:val="000000" w:themeColor="text1"/>
          <w:sz w:val="20"/>
          <w:szCs w:val="20"/>
        </w:rPr>
        <w:t xml:space="preserve"> online in the second half and had a strong finish to the year.</w:t>
      </w:r>
    </w:p>
    <w:p w14:paraId="13640AA8" w14:textId="77777777" w:rsidR="001C6236" w:rsidRPr="00D2313B" w:rsidRDefault="001C6236" w:rsidP="001C6236">
      <w:pPr>
        <w:jc w:val="both"/>
        <w:rPr>
          <w:rFonts w:cstheme="minorHAnsi"/>
          <w:color w:val="000000" w:themeColor="text1"/>
          <w:sz w:val="20"/>
          <w:szCs w:val="20"/>
        </w:rPr>
      </w:pPr>
      <w:r w:rsidRPr="00D2313B">
        <w:rPr>
          <w:rFonts w:cstheme="minorHAnsi"/>
          <w:color w:val="000000" w:themeColor="text1"/>
          <w:sz w:val="20"/>
          <w:szCs w:val="20"/>
        </w:rPr>
        <w:t>2020 will see PhD.com as a priority in the UK and we also intend to launch new sites for both of our brands in key markets including Germany and Italy. To support this growth, we have now completed a major recruiting campaign, which has seen an influx of new talent from leading brands including Heineken and Virgin Active.</w:t>
      </w:r>
    </w:p>
    <w:p w14:paraId="7FF994F0" w14:textId="77777777" w:rsidR="001C6236" w:rsidRPr="00D2313B" w:rsidRDefault="001C6236" w:rsidP="001C6236">
      <w:pPr>
        <w:jc w:val="both"/>
        <w:rPr>
          <w:rFonts w:cstheme="minorHAnsi"/>
          <w:b/>
          <w:bCs/>
          <w:color w:val="000000" w:themeColor="text1"/>
          <w:sz w:val="20"/>
          <w:szCs w:val="20"/>
        </w:rPr>
      </w:pPr>
      <w:r w:rsidRPr="00D2313B">
        <w:rPr>
          <w:rFonts w:cstheme="minorHAnsi"/>
          <w:color w:val="000000" w:themeColor="text1"/>
          <w:sz w:val="20"/>
          <w:szCs w:val="20"/>
        </w:rPr>
        <w:t>Marketplace channels including Amazon and TMall are an integral part of our strategy and in some international markets are seen as the lead growth channel. Revenue was £6.2m for the year, 30% ahead of 2018 (pro forma</w:t>
      </w:r>
      <w:r w:rsidRPr="00D2313B">
        <w:rPr>
          <w:rFonts w:cstheme="minorHAnsi"/>
          <w:color w:val="000000" w:themeColor="text1"/>
          <w:sz w:val="20"/>
          <w:szCs w:val="20"/>
          <w:vertAlign w:val="superscript"/>
        </w:rPr>
        <w:t>1</w:t>
      </w:r>
      <w:r w:rsidRPr="00D2313B">
        <w:rPr>
          <w:rFonts w:cstheme="minorHAnsi"/>
          <w:color w:val="000000" w:themeColor="text1"/>
          <w:sz w:val="20"/>
          <w:szCs w:val="20"/>
        </w:rPr>
        <w:t>). A new Head of Marketplace joined the team in January 2020, and we will continue to recruit and develop talent to underpin our growth ambition for this channel.</w:t>
      </w:r>
    </w:p>
    <w:p w14:paraId="24D3A716" w14:textId="77777777" w:rsidR="001C6236" w:rsidRPr="00D2313B" w:rsidRDefault="001C6236" w:rsidP="001C6236">
      <w:pPr>
        <w:jc w:val="both"/>
        <w:rPr>
          <w:rFonts w:cstheme="minorHAnsi"/>
          <w:b/>
          <w:bCs/>
          <w:color w:val="000000" w:themeColor="text1"/>
          <w:sz w:val="20"/>
          <w:szCs w:val="20"/>
        </w:rPr>
      </w:pPr>
      <w:r w:rsidRPr="00D2313B">
        <w:rPr>
          <w:rFonts w:cstheme="minorHAnsi"/>
          <w:b/>
          <w:bCs/>
          <w:color w:val="000000" w:themeColor="text1"/>
          <w:sz w:val="20"/>
          <w:szCs w:val="20"/>
        </w:rPr>
        <w:t>International</w:t>
      </w:r>
    </w:p>
    <w:p w14:paraId="66BDC00C" w14:textId="77777777" w:rsidR="001C6236" w:rsidRPr="00D2313B" w:rsidRDefault="001C6236" w:rsidP="001C6236">
      <w:pPr>
        <w:jc w:val="both"/>
        <w:rPr>
          <w:rFonts w:cstheme="minorHAnsi"/>
          <w:color w:val="000000" w:themeColor="text1"/>
          <w:sz w:val="20"/>
          <w:szCs w:val="20"/>
        </w:rPr>
      </w:pPr>
      <w:r w:rsidRPr="00D2313B">
        <w:rPr>
          <w:rFonts w:cstheme="minorHAnsi"/>
          <w:color w:val="000000" w:themeColor="text1"/>
          <w:sz w:val="20"/>
          <w:szCs w:val="20"/>
        </w:rPr>
        <w:t>Distributor serviced international markets grew 42% (pro forma</w:t>
      </w:r>
      <w:r w:rsidRPr="00D2313B">
        <w:rPr>
          <w:rFonts w:cstheme="minorHAnsi"/>
          <w:color w:val="000000" w:themeColor="text1"/>
          <w:sz w:val="20"/>
          <w:szCs w:val="20"/>
          <w:vertAlign w:val="superscript"/>
        </w:rPr>
        <w:t>1</w:t>
      </w:r>
      <w:r w:rsidRPr="00D2313B">
        <w:rPr>
          <w:rFonts w:cstheme="minorHAnsi"/>
          <w:color w:val="000000" w:themeColor="text1"/>
          <w:sz w:val="20"/>
          <w:szCs w:val="20"/>
        </w:rPr>
        <w:t>) to £12.3m in 2019. This included strong organic growth in existing markets for both brands, including PhD in the Middle East and China, and SiS in Europe. New markets opened up for PhD included Russia, Saudi Arabia and Turkey. SiS made inroads into the Middle East and several Latin American markets including Colombia and Brazil.</w:t>
      </w:r>
    </w:p>
    <w:p w14:paraId="187D6A06" w14:textId="77777777" w:rsidR="001C6236" w:rsidRPr="00D2313B" w:rsidRDefault="001C6236" w:rsidP="001C6236">
      <w:pPr>
        <w:jc w:val="both"/>
        <w:rPr>
          <w:rFonts w:cstheme="minorHAnsi"/>
          <w:color w:val="000000" w:themeColor="text1"/>
          <w:sz w:val="20"/>
          <w:szCs w:val="20"/>
        </w:rPr>
      </w:pPr>
      <w:r w:rsidRPr="00D2313B">
        <w:rPr>
          <w:rFonts w:cstheme="minorHAnsi"/>
          <w:color w:val="000000" w:themeColor="text1"/>
          <w:sz w:val="20"/>
          <w:szCs w:val="20"/>
        </w:rPr>
        <w:t xml:space="preserve">We continued to invest in our SiS </w:t>
      </w:r>
      <w:r>
        <w:rPr>
          <w:rFonts w:cstheme="minorHAnsi"/>
          <w:color w:val="000000" w:themeColor="text1"/>
          <w:sz w:val="20"/>
          <w:szCs w:val="20"/>
        </w:rPr>
        <w:t>brand</w:t>
      </w:r>
      <w:r w:rsidRPr="00D2313B">
        <w:rPr>
          <w:rFonts w:cstheme="minorHAnsi"/>
          <w:color w:val="000000" w:themeColor="text1"/>
          <w:sz w:val="20"/>
          <w:szCs w:val="20"/>
        </w:rPr>
        <w:t xml:space="preserve"> in the USA and delivered 92% revenue growth year-on-year, with gross margin improving given the favourable channel and product mix. We made strong progress with our own e-commerce platform, our Amazon business and through retail distributors, this latter channel being important for awareness and product trial. During the year we carried out extensive consumer research to assess the potential for the PhD brand and this delivered highly promising data which we will act on in due course. </w:t>
      </w:r>
    </w:p>
    <w:p w14:paraId="1E591D9B" w14:textId="77777777" w:rsidR="001C6236" w:rsidRPr="00D2313B" w:rsidRDefault="001C6236" w:rsidP="001C6236">
      <w:pPr>
        <w:jc w:val="both"/>
        <w:rPr>
          <w:rFonts w:cstheme="minorHAnsi"/>
          <w:color w:val="000000" w:themeColor="text1"/>
          <w:sz w:val="20"/>
          <w:szCs w:val="20"/>
        </w:rPr>
      </w:pPr>
      <w:r w:rsidRPr="00D2313B">
        <w:rPr>
          <w:rFonts w:cstheme="minorHAnsi"/>
          <w:color w:val="000000" w:themeColor="text1"/>
          <w:sz w:val="20"/>
          <w:szCs w:val="20"/>
        </w:rPr>
        <w:t>Our SiS businesses in Italy and Australia grew revenues by 66% and 46% respectively, again with progress made in e-commerce, Amazon and through running and cycling retail channels. The Australian business was breakeven in 2019 and we expect the Italian business to become profitable in 2020.</w:t>
      </w:r>
    </w:p>
    <w:p w14:paraId="5BD18A57" w14:textId="77777777" w:rsidR="001C6236" w:rsidRPr="00D2313B" w:rsidRDefault="001C6236" w:rsidP="001C6236">
      <w:pPr>
        <w:jc w:val="both"/>
        <w:rPr>
          <w:rFonts w:cstheme="minorHAnsi"/>
          <w:b/>
          <w:bCs/>
          <w:color w:val="000000" w:themeColor="text1"/>
          <w:sz w:val="20"/>
          <w:szCs w:val="20"/>
        </w:rPr>
      </w:pPr>
      <w:r w:rsidRPr="00D2313B">
        <w:rPr>
          <w:rFonts w:cstheme="minorHAnsi"/>
          <w:b/>
          <w:bCs/>
          <w:color w:val="000000" w:themeColor="text1"/>
          <w:sz w:val="20"/>
          <w:szCs w:val="20"/>
        </w:rPr>
        <w:t xml:space="preserve">UK Retail </w:t>
      </w:r>
    </w:p>
    <w:p w14:paraId="10B50CF1" w14:textId="77777777" w:rsidR="001C6236" w:rsidRPr="00D2313B" w:rsidRDefault="001C6236" w:rsidP="001C6236">
      <w:pPr>
        <w:jc w:val="both"/>
        <w:rPr>
          <w:rFonts w:cstheme="minorHAnsi"/>
          <w:color w:val="000000" w:themeColor="text1"/>
          <w:sz w:val="20"/>
          <w:szCs w:val="20"/>
        </w:rPr>
      </w:pPr>
      <w:r w:rsidRPr="00D2313B">
        <w:rPr>
          <w:rFonts w:cstheme="minorHAnsi"/>
          <w:color w:val="000000" w:themeColor="text1"/>
          <w:sz w:val="20"/>
          <w:szCs w:val="20"/>
        </w:rPr>
        <w:t xml:space="preserve">The retail environment continues to be challenging in our core market. Despite this, our success in delivering innovation and bringing our category presence to bear through our brand portfolio resulted in new distribution and strong organic growth in the grocery channel. Innovation and new distribution drove growth in Tesco and Sainsbury’s, while we gained new listings for PhD in Aldi and for SiS in Lidl. </w:t>
      </w:r>
    </w:p>
    <w:p w14:paraId="0CBE2B28" w14:textId="77777777" w:rsidR="001C6236" w:rsidRPr="00D2313B" w:rsidRDefault="001C6236" w:rsidP="001C6236">
      <w:pPr>
        <w:jc w:val="both"/>
        <w:rPr>
          <w:rFonts w:cstheme="minorHAnsi"/>
          <w:color w:val="000000" w:themeColor="text1"/>
          <w:sz w:val="20"/>
          <w:szCs w:val="20"/>
        </w:rPr>
      </w:pPr>
      <w:r w:rsidRPr="00D2313B">
        <w:rPr>
          <w:rFonts w:cstheme="minorHAnsi"/>
          <w:color w:val="000000" w:themeColor="text1"/>
          <w:sz w:val="20"/>
          <w:szCs w:val="20"/>
        </w:rPr>
        <w:t xml:space="preserve">We continued to develop our High Street business, with Holland &amp; Barrett representing a major source of revenue for the </w:t>
      </w:r>
      <w:r>
        <w:rPr>
          <w:rFonts w:cstheme="minorHAnsi"/>
          <w:color w:val="000000" w:themeColor="text1"/>
          <w:sz w:val="20"/>
          <w:szCs w:val="20"/>
        </w:rPr>
        <w:t>Group</w:t>
      </w:r>
      <w:r w:rsidRPr="00D2313B">
        <w:rPr>
          <w:rFonts w:cstheme="minorHAnsi"/>
          <w:color w:val="000000" w:themeColor="text1"/>
          <w:sz w:val="20"/>
          <w:szCs w:val="20"/>
        </w:rPr>
        <w:t>. The third-party online channel was challenging, although given our focus on our own e-commerce platform and Amazon, this was expected.</w:t>
      </w:r>
    </w:p>
    <w:p w14:paraId="768A5A72" w14:textId="77777777" w:rsidR="001C6236" w:rsidRPr="00D2313B" w:rsidRDefault="001C6236" w:rsidP="001C6236">
      <w:pPr>
        <w:jc w:val="both"/>
        <w:rPr>
          <w:rFonts w:cstheme="minorHAnsi"/>
          <w:color w:val="000000" w:themeColor="text1"/>
          <w:sz w:val="20"/>
          <w:szCs w:val="20"/>
        </w:rPr>
      </w:pPr>
      <w:r w:rsidRPr="00D2313B">
        <w:rPr>
          <w:rFonts w:cstheme="minorHAnsi"/>
          <w:color w:val="000000" w:themeColor="text1"/>
          <w:sz w:val="20"/>
          <w:szCs w:val="20"/>
        </w:rPr>
        <w:t xml:space="preserve">Overall, </w:t>
      </w:r>
      <w:r>
        <w:rPr>
          <w:rFonts w:cstheme="minorHAnsi"/>
          <w:color w:val="000000" w:themeColor="text1"/>
          <w:sz w:val="20"/>
          <w:szCs w:val="20"/>
        </w:rPr>
        <w:t>revenue from our</w:t>
      </w:r>
      <w:r w:rsidRPr="00D2313B">
        <w:rPr>
          <w:rFonts w:cstheme="minorHAnsi"/>
          <w:color w:val="000000" w:themeColor="text1"/>
          <w:sz w:val="20"/>
          <w:szCs w:val="20"/>
        </w:rPr>
        <w:t xml:space="preserve"> UK retail business </w:t>
      </w:r>
      <w:r>
        <w:rPr>
          <w:rFonts w:cstheme="minorHAnsi"/>
          <w:color w:val="000000" w:themeColor="text1"/>
          <w:sz w:val="20"/>
          <w:szCs w:val="20"/>
        </w:rPr>
        <w:t xml:space="preserve">grew </w:t>
      </w:r>
      <w:r w:rsidRPr="00D2313B">
        <w:rPr>
          <w:rFonts w:cstheme="minorHAnsi"/>
          <w:color w:val="000000" w:themeColor="text1"/>
          <w:sz w:val="20"/>
          <w:szCs w:val="20"/>
        </w:rPr>
        <w:t xml:space="preserve">by 8% </w:t>
      </w:r>
      <w:r>
        <w:rPr>
          <w:rFonts w:cstheme="minorHAnsi"/>
          <w:color w:val="000000" w:themeColor="text1"/>
          <w:sz w:val="20"/>
          <w:szCs w:val="20"/>
        </w:rPr>
        <w:t>(</w:t>
      </w:r>
      <w:r w:rsidRPr="00D2313B">
        <w:rPr>
          <w:rFonts w:cstheme="minorHAnsi"/>
          <w:color w:val="000000" w:themeColor="text1"/>
          <w:sz w:val="20"/>
          <w:szCs w:val="20"/>
        </w:rPr>
        <w:t>pro</w:t>
      </w:r>
      <w:r>
        <w:rPr>
          <w:rFonts w:cstheme="minorHAnsi"/>
          <w:color w:val="000000" w:themeColor="text1"/>
          <w:sz w:val="20"/>
          <w:szCs w:val="20"/>
        </w:rPr>
        <w:t xml:space="preserve"> </w:t>
      </w:r>
      <w:r w:rsidRPr="00D2313B">
        <w:rPr>
          <w:rFonts w:cstheme="minorHAnsi"/>
          <w:color w:val="000000" w:themeColor="text1"/>
          <w:sz w:val="20"/>
          <w:szCs w:val="20"/>
        </w:rPr>
        <w:t>forma</w:t>
      </w:r>
      <w:r w:rsidRPr="00D2313B">
        <w:rPr>
          <w:rFonts w:cstheme="minorHAnsi"/>
          <w:color w:val="000000" w:themeColor="text1"/>
          <w:sz w:val="20"/>
          <w:szCs w:val="20"/>
          <w:vertAlign w:val="superscript"/>
        </w:rPr>
        <w:t>1</w:t>
      </w:r>
      <w:r>
        <w:rPr>
          <w:rFonts w:cstheme="minorHAnsi"/>
          <w:color w:val="000000" w:themeColor="text1"/>
          <w:sz w:val="20"/>
          <w:szCs w:val="20"/>
          <w:vertAlign w:val="superscript"/>
        </w:rPr>
        <w:t>)</w:t>
      </w:r>
      <w:r w:rsidRPr="00D2313B">
        <w:rPr>
          <w:rFonts w:cstheme="minorHAnsi"/>
          <w:color w:val="000000" w:themeColor="text1"/>
          <w:sz w:val="20"/>
          <w:szCs w:val="20"/>
        </w:rPr>
        <w:t>, which was a pleasing result given the climate in the high street and independent channels.</w:t>
      </w:r>
    </w:p>
    <w:p w14:paraId="34BCBB1B" w14:textId="77777777" w:rsidR="001C6236" w:rsidRPr="00D2313B" w:rsidRDefault="001C6236" w:rsidP="001C6236">
      <w:pPr>
        <w:jc w:val="both"/>
        <w:rPr>
          <w:rFonts w:cstheme="minorHAnsi"/>
          <w:b/>
          <w:bCs/>
          <w:color w:val="000000" w:themeColor="text1"/>
          <w:sz w:val="20"/>
          <w:szCs w:val="20"/>
        </w:rPr>
      </w:pPr>
      <w:r w:rsidRPr="00D2313B">
        <w:rPr>
          <w:rFonts w:cstheme="minorHAnsi"/>
          <w:b/>
          <w:bCs/>
          <w:color w:val="000000" w:themeColor="text1"/>
          <w:sz w:val="20"/>
          <w:szCs w:val="20"/>
        </w:rPr>
        <w:t>Football</w:t>
      </w:r>
    </w:p>
    <w:p w14:paraId="4762BFAB" w14:textId="77777777" w:rsidR="001C6236" w:rsidRPr="00D2313B" w:rsidRDefault="001C6236" w:rsidP="001C6236">
      <w:pPr>
        <w:jc w:val="both"/>
        <w:rPr>
          <w:rFonts w:cstheme="minorHAnsi"/>
          <w:color w:val="000000" w:themeColor="text1"/>
          <w:sz w:val="20"/>
          <w:szCs w:val="20"/>
        </w:rPr>
      </w:pPr>
      <w:r w:rsidRPr="00D2313B">
        <w:rPr>
          <w:rFonts w:cstheme="minorHAnsi"/>
          <w:color w:val="000000" w:themeColor="text1"/>
          <w:sz w:val="20"/>
          <w:szCs w:val="20"/>
        </w:rPr>
        <w:t xml:space="preserve">We continue to invest in this channel and believe it represents a long-term strategic initiative. As well as being official nutrition partners to Manchester United, Arsenal and Celtic, we sell products to more than 100 elite clubs across the UK, Europe and the USA. Our sisfootball.com e-commerce platform is also performing strongly, and overall </w:t>
      </w:r>
      <w:r>
        <w:rPr>
          <w:rFonts w:cstheme="minorHAnsi"/>
          <w:color w:val="000000" w:themeColor="text1"/>
          <w:sz w:val="20"/>
          <w:szCs w:val="20"/>
        </w:rPr>
        <w:t>revenue from our</w:t>
      </w:r>
      <w:r w:rsidRPr="00D2313B">
        <w:rPr>
          <w:rFonts w:cstheme="minorHAnsi"/>
          <w:color w:val="000000" w:themeColor="text1"/>
          <w:sz w:val="20"/>
          <w:szCs w:val="20"/>
        </w:rPr>
        <w:t xml:space="preserve"> Football business grew 94% year-on-year. </w:t>
      </w:r>
    </w:p>
    <w:p w14:paraId="325FDA30" w14:textId="77777777" w:rsidR="001C6236" w:rsidRPr="00D2313B" w:rsidRDefault="001C6236" w:rsidP="001C6236">
      <w:pPr>
        <w:jc w:val="both"/>
        <w:rPr>
          <w:rFonts w:cstheme="minorHAnsi"/>
          <w:b/>
          <w:bCs/>
          <w:color w:val="000000" w:themeColor="text1"/>
          <w:sz w:val="20"/>
          <w:szCs w:val="20"/>
        </w:rPr>
      </w:pPr>
      <w:r w:rsidRPr="00D2313B">
        <w:rPr>
          <w:rFonts w:cstheme="minorHAnsi"/>
          <w:b/>
          <w:bCs/>
          <w:color w:val="000000" w:themeColor="text1"/>
          <w:sz w:val="20"/>
          <w:szCs w:val="20"/>
        </w:rPr>
        <w:t>Supply Chain</w:t>
      </w:r>
    </w:p>
    <w:p w14:paraId="22423FD4" w14:textId="77777777" w:rsidR="001C6236" w:rsidRPr="00D2313B" w:rsidRDefault="001C6236" w:rsidP="001C6236">
      <w:pPr>
        <w:jc w:val="both"/>
        <w:rPr>
          <w:rFonts w:cstheme="minorHAnsi"/>
          <w:color w:val="000000" w:themeColor="text1"/>
          <w:sz w:val="20"/>
          <w:szCs w:val="20"/>
        </w:rPr>
      </w:pPr>
      <w:r w:rsidRPr="00D2313B">
        <w:rPr>
          <w:rFonts w:cstheme="minorHAnsi"/>
          <w:color w:val="000000" w:themeColor="text1"/>
          <w:sz w:val="20"/>
          <w:szCs w:val="20"/>
        </w:rPr>
        <w:t>The integration of PhD into our supply chain was a major focus in the year. We opened a new e-commerce fulfilment facility to combine operations for both the PhD and SiS brands in June 2019 which is performing very effectively and delivering high levels of customer service. A new protein powder filling line was commissioned during November, on time and in line with cost estimates and we expect this project to payback in under 14 months.</w:t>
      </w:r>
    </w:p>
    <w:p w14:paraId="62975A11" w14:textId="77777777" w:rsidR="001C6236" w:rsidRPr="00D2313B" w:rsidRDefault="001C6236" w:rsidP="001C6236">
      <w:pPr>
        <w:jc w:val="both"/>
        <w:rPr>
          <w:rFonts w:cstheme="minorHAnsi"/>
          <w:color w:val="000000" w:themeColor="text1"/>
          <w:sz w:val="20"/>
          <w:szCs w:val="20"/>
        </w:rPr>
      </w:pPr>
      <w:r w:rsidRPr="00D2313B">
        <w:rPr>
          <w:rFonts w:cstheme="minorHAnsi"/>
          <w:color w:val="000000" w:themeColor="text1"/>
          <w:sz w:val="20"/>
          <w:szCs w:val="20"/>
        </w:rPr>
        <w:t>Gross margin for the overall business was 44%, slightly down on 45% pro forma</w:t>
      </w:r>
      <w:r w:rsidRPr="00D2313B">
        <w:rPr>
          <w:rFonts w:cstheme="minorHAnsi"/>
          <w:color w:val="000000" w:themeColor="text1"/>
          <w:sz w:val="20"/>
          <w:szCs w:val="20"/>
          <w:vertAlign w:val="superscript"/>
        </w:rPr>
        <w:t>1</w:t>
      </w:r>
      <w:r w:rsidRPr="00D2313B">
        <w:rPr>
          <w:rFonts w:cstheme="minorHAnsi"/>
          <w:color w:val="000000" w:themeColor="text1"/>
          <w:sz w:val="20"/>
          <w:szCs w:val="20"/>
        </w:rPr>
        <w:t xml:space="preserve"> 2018 margin. This was driven by one-off inventory costs, together with increased whey protein costs in the final months of the year. We remain positive on gross margin given we expect further manufacturing efficiencies and favourable ch</w:t>
      </w:r>
      <w:r>
        <w:rPr>
          <w:rFonts w:cstheme="minorHAnsi"/>
          <w:color w:val="000000" w:themeColor="text1"/>
          <w:sz w:val="20"/>
          <w:szCs w:val="20"/>
        </w:rPr>
        <w:t>annel and product mix benefits.</w:t>
      </w:r>
    </w:p>
    <w:p w14:paraId="636724E7" w14:textId="77777777" w:rsidR="001C6236" w:rsidRPr="00D2313B" w:rsidRDefault="001C6236" w:rsidP="001C6236">
      <w:pPr>
        <w:pStyle w:val="NoSpacing"/>
        <w:jc w:val="both"/>
        <w:rPr>
          <w:rFonts w:cstheme="minorHAnsi"/>
          <w:b/>
          <w:bCs/>
          <w:color w:val="000000" w:themeColor="text1"/>
          <w:sz w:val="20"/>
          <w:szCs w:val="20"/>
        </w:rPr>
      </w:pPr>
      <w:r w:rsidRPr="00D2313B">
        <w:rPr>
          <w:rFonts w:cstheme="minorHAnsi"/>
          <w:b/>
          <w:bCs/>
          <w:color w:val="000000" w:themeColor="text1"/>
          <w:sz w:val="20"/>
          <w:szCs w:val="20"/>
        </w:rPr>
        <w:t xml:space="preserve">Outlook </w:t>
      </w:r>
    </w:p>
    <w:p w14:paraId="06FF8CE2" w14:textId="77777777" w:rsidR="001C6236" w:rsidRPr="00D2313B" w:rsidRDefault="001C6236" w:rsidP="001C6236">
      <w:pPr>
        <w:pStyle w:val="NoSpacing"/>
        <w:jc w:val="both"/>
        <w:rPr>
          <w:rFonts w:cstheme="minorHAnsi"/>
          <w:color w:val="000000" w:themeColor="text1"/>
          <w:sz w:val="20"/>
          <w:szCs w:val="20"/>
        </w:rPr>
      </w:pPr>
    </w:p>
    <w:p w14:paraId="14CC8136" w14:textId="77777777" w:rsidR="001C6236" w:rsidRPr="00D2313B" w:rsidRDefault="001C6236" w:rsidP="001C6236">
      <w:pPr>
        <w:pStyle w:val="NoSpacing"/>
        <w:jc w:val="both"/>
        <w:rPr>
          <w:rFonts w:cstheme="minorHAnsi"/>
          <w:color w:val="000000" w:themeColor="text1"/>
          <w:sz w:val="20"/>
          <w:szCs w:val="20"/>
        </w:rPr>
      </w:pPr>
      <w:r w:rsidRPr="00D2313B">
        <w:rPr>
          <w:rFonts w:cstheme="minorHAnsi"/>
          <w:color w:val="000000" w:themeColor="text1"/>
          <w:sz w:val="20"/>
          <w:szCs w:val="20"/>
        </w:rPr>
        <w:t xml:space="preserve">We </w:t>
      </w:r>
      <w:r>
        <w:rPr>
          <w:rFonts w:cstheme="minorHAnsi"/>
          <w:color w:val="000000" w:themeColor="text1"/>
          <w:sz w:val="20"/>
          <w:szCs w:val="20"/>
        </w:rPr>
        <w:t xml:space="preserve">have planned for a further </w:t>
      </w:r>
      <w:r w:rsidRPr="00D2313B">
        <w:rPr>
          <w:rFonts w:cstheme="minorHAnsi"/>
          <w:color w:val="000000" w:themeColor="text1"/>
          <w:sz w:val="20"/>
          <w:szCs w:val="20"/>
        </w:rPr>
        <w:t xml:space="preserve">strong year of revenue growth in 2020 with innovation, e-commerce and international expansion being key drivers. With integration of the PhD and SiS </w:t>
      </w:r>
      <w:r>
        <w:rPr>
          <w:rFonts w:cstheme="minorHAnsi"/>
          <w:color w:val="000000" w:themeColor="text1"/>
          <w:sz w:val="20"/>
          <w:szCs w:val="20"/>
        </w:rPr>
        <w:t>brands</w:t>
      </w:r>
      <w:r w:rsidRPr="00D2313B">
        <w:rPr>
          <w:rFonts w:cstheme="minorHAnsi"/>
          <w:color w:val="000000" w:themeColor="text1"/>
          <w:sz w:val="20"/>
          <w:szCs w:val="20"/>
        </w:rPr>
        <w:t xml:space="preserve"> complete, we expect to deliver further cost savings as a result of supply chain efficiencies.</w:t>
      </w:r>
    </w:p>
    <w:p w14:paraId="0485B68F" w14:textId="77777777" w:rsidR="001C6236" w:rsidRPr="00D2313B" w:rsidRDefault="001C6236" w:rsidP="001C6236">
      <w:pPr>
        <w:pStyle w:val="NoSpacing"/>
        <w:jc w:val="both"/>
        <w:rPr>
          <w:rFonts w:cstheme="minorHAnsi"/>
          <w:color w:val="000000" w:themeColor="text1"/>
          <w:sz w:val="20"/>
          <w:szCs w:val="20"/>
        </w:rPr>
      </w:pPr>
    </w:p>
    <w:p w14:paraId="18B9396F" w14:textId="77777777" w:rsidR="001C6236" w:rsidRPr="00252945" w:rsidRDefault="001C6236" w:rsidP="001C6236">
      <w:pPr>
        <w:jc w:val="both"/>
        <w:rPr>
          <w:rFonts w:cstheme="minorHAnsi"/>
          <w:b/>
          <w:sz w:val="20"/>
          <w:szCs w:val="20"/>
        </w:rPr>
      </w:pPr>
      <w:r w:rsidRPr="00252945">
        <w:rPr>
          <w:rFonts w:cstheme="minorHAnsi"/>
          <w:b/>
          <w:sz w:val="20"/>
          <w:szCs w:val="20"/>
        </w:rPr>
        <w:t>COVID-19 preparations</w:t>
      </w:r>
    </w:p>
    <w:p w14:paraId="14DD149E" w14:textId="77777777" w:rsidR="001C6236" w:rsidRDefault="001C6236" w:rsidP="001C6236">
      <w:pPr>
        <w:jc w:val="both"/>
        <w:rPr>
          <w:rFonts w:cstheme="minorHAnsi"/>
          <w:sz w:val="20"/>
          <w:szCs w:val="20"/>
        </w:rPr>
      </w:pPr>
      <w:r w:rsidRPr="00D2313B">
        <w:rPr>
          <w:rFonts w:cstheme="minorHAnsi"/>
          <w:sz w:val="20"/>
          <w:szCs w:val="20"/>
        </w:rPr>
        <w:t>At present trading is in line with expectations. While we are seeing sharply reduced revenue in Italy</w:t>
      </w:r>
      <w:r>
        <w:rPr>
          <w:rFonts w:cstheme="minorHAnsi"/>
          <w:sz w:val="20"/>
          <w:szCs w:val="20"/>
        </w:rPr>
        <w:t>,</w:t>
      </w:r>
      <w:r w:rsidRPr="00D2313B">
        <w:rPr>
          <w:rFonts w:cstheme="minorHAnsi"/>
          <w:sz w:val="20"/>
          <w:szCs w:val="20"/>
        </w:rPr>
        <w:t xml:space="preserve"> China revenues have recovered in March and we have received strong forward orders. We are working with key customers to ensure their inventory protects the</w:t>
      </w:r>
      <w:r>
        <w:rPr>
          <w:rFonts w:cstheme="minorHAnsi"/>
          <w:sz w:val="20"/>
          <w:szCs w:val="20"/>
        </w:rPr>
        <w:t xml:space="preserve"> next weeks of consumer demand.</w:t>
      </w:r>
    </w:p>
    <w:p w14:paraId="006CBB35" w14:textId="77777777" w:rsidR="001C6236" w:rsidRPr="00D2313B" w:rsidRDefault="001C6236" w:rsidP="001C6236">
      <w:pPr>
        <w:jc w:val="both"/>
        <w:rPr>
          <w:rFonts w:cstheme="minorHAnsi"/>
          <w:sz w:val="20"/>
          <w:szCs w:val="20"/>
        </w:rPr>
      </w:pPr>
      <w:r w:rsidRPr="00D2313B">
        <w:rPr>
          <w:rFonts w:cstheme="minorHAnsi"/>
          <w:sz w:val="20"/>
          <w:szCs w:val="20"/>
        </w:rPr>
        <w:t>Preparations for C</w:t>
      </w:r>
      <w:r>
        <w:rPr>
          <w:rFonts w:cstheme="minorHAnsi"/>
          <w:sz w:val="20"/>
          <w:szCs w:val="20"/>
        </w:rPr>
        <w:t>ovid-</w:t>
      </w:r>
      <w:r w:rsidRPr="00D2313B">
        <w:rPr>
          <w:rFonts w:cstheme="minorHAnsi"/>
          <w:sz w:val="20"/>
          <w:szCs w:val="20"/>
        </w:rPr>
        <w:t>19 related disruption have been in place for some weeks. Several months cover of certain sensitive raw materials are secured. Our Nelson manufacturing site and two third-party logistics operations have been isolated from each other and shift patterns in both operational units have also been separated, with cleaning processes taking place between shifts. Our office based teams in all functions, including e-commerce operations and customer service, have commenc</w:t>
      </w:r>
      <w:r>
        <w:rPr>
          <w:rFonts w:cstheme="minorHAnsi"/>
          <w:sz w:val="20"/>
          <w:szCs w:val="20"/>
        </w:rPr>
        <w:t>ed a full work from home policy.</w:t>
      </w:r>
    </w:p>
    <w:p w14:paraId="66569081" w14:textId="19FD2612" w:rsidR="001C6236" w:rsidRPr="00D2313B" w:rsidRDefault="001C6236" w:rsidP="001C6236">
      <w:pPr>
        <w:pStyle w:val="NoSpacing"/>
        <w:jc w:val="both"/>
        <w:rPr>
          <w:rFonts w:cstheme="minorHAnsi"/>
          <w:sz w:val="20"/>
          <w:szCs w:val="20"/>
        </w:rPr>
      </w:pPr>
      <w:r w:rsidRPr="00D2313B">
        <w:rPr>
          <w:rFonts w:cstheme="minorHAnsi"/>
          <w:sz w:val="20"/>
          <w:szCs w:val="20"/>
        </w:rPr>
        <w:t>The situation is being monitored daily and management ha</w:t>
      </w:r>
      <w:r>
        <w:rPr>
          <w:rFonts w:cstheme="minorHAnsi"/>
          <w:sz w:val="20"/>
          <w:szCs w:val="20"/>
        </w:rPr>
        <w:t>s</w:t>
      </w:r>
      <w:r w:rsidRPr="00D2313B">
        <w:rPr>
          <w:rFonts w:cstheme="minorHAnsi"/>
          <w:sz w:val="20"/>
          <w:szCs w:val="20"/>
        </w:rPr>
        <w:t xml:space="preserve"> developed contingency plans to protect the Company</w:t>
      </w:r>
      <w:r>
        <w:rPr>
          <w:rFonts w:cstheme="minorHAnsi"/>
          <w:sz w:val="20"/>
          <w:szCs w:val="20"/>
        </w:rPr>
        <w:t xml:space="preserve"> and its workforce </w:t>
      </w:r>
      <w:r w:rsidR="009E0DFB">
        <w:rPr>
          <w:rFonts w:cstheme="minorHAnsi"/>
          <w:sz w:val="20"/>
          <w:szCs w:val="20"/>
        </w:rPr>
        <w:t>should the</w:t>
      </w:r>
      <w:r w:rsidRPr="00D2313B">
        <w:rPr>
          <w:rFonts w:cstheme="minorHAnsi"/>
          <w:sz w:val="20"/>
          <w:szCs w:val="20"/>
        </w:rPr>
        <w:t xml:space="preserve"> impact from Covid-19 become extended.</w:t>
      </w:r>
    </w:p>
    <w:p w14:paraId="21F2A42B" w14:textId="77777777" w:rsidR="001C6236" w:rsidRPr="00D2313B" w:rsidRDefault="001C6236" w:rsidP="001C6236">
      <w:pPr>
        <w:pStyle w:val="NoSpacing"/>
        <w:jc w:val="both"/>
        <w:rPr>
          <w:rFonts w:cstheme="minorHAnsi"/>
          <w:color w:val="000000" w:themeColor="text1"/>
          <w:sz w:val="20"/>
          <w:szCs w:val="20"/>
        </w:rPr>
      </w:pPr>
    </w:p>
    <w:p w14:paraId="7490DBDC" w14:textId="77777777" w:rsidR="001C6236" w:rsidRPr="00D2313B" w:rsidRDefault="001C6236" w:rsidP="001C6236">
      <w:pPr>
        <w:rPr>
          <w:rFonts w:cstheme="minorHAnsi"/>
          <w:color w:val="000000" w:themeColor="text1"/>
          <w:sz w:val="20"/>
          <w:szCs w:val="20"/>
        </w:rPr>
      </w:pPr>
      <w:r w:rsidRPr="00D2313B">
        <w:rPr>
          <w:rFonts w:cstheme="minorHAnsi"/>
          <w:color w:val="000000" w:themeColor="text1"/>
          <w:sz w:val="20"/>
          <w:szCs w:val="20"/>
        </w:rPr>
        <w:t xml:space="preserve">STEPHEN MOON </w:t>
      </w:r>
    </w:p>
    <w:p w14:paraId="744F89BE" w14:textId="77777777" w:rsidR="001C6236" w:rsidRPr="00D2313B" w:rsidRDefault="001C6236" w:rsidP="001C6236">
      <w:pPr>
        <w:rPr>
          <w:rFonts w:cstheme="minorHAnsi"/>
          <w:color w:val="000000" w:themeColor="text1"/>
          <w:sz w:val="20"/>
          <w:szCs w:val="20"/>
        </w:rPr>
      </w:pPr>
      <w:r w:rsidRPr="00D2313B">
        <w:rPr>
          <w:rFonts w:cstheme="minorHAnsi"/>
          <w:color w:val="000000" w:themeColor="text1"/>
          <w:sz w:val="20"/>
          <w:szCs w:val="20"/>
        </w:rPr>
        <w:t xml:space="preserve">Chief Executive Officer </w:t>
      </w:r>
    </w:p>
    <w:p w14:paraId="2A6443EC" w14:textId="77777777" w:rsidR="001C6236" w:rsidRPr="00D2313B" w:rsidRDefault="001C6236" w:rsidP="001C6236">
      <w:pPr>
        <w:pStyle w:val="NoSpacing"/>
        <w:rPr>
          <w:rFonts w:cstheme="minorHAnsi"/>
          <w:sz w:val="20"/>
          <w:szCs w:val="20"/>
        </w:rPr>
      </w:pPr>
      <w:r w:rsidRPr="00D2313B">
        <w:rPr>
          <w:rFonts w:cstheme="minorHAnsi"/>
          <w:sz w:val="20"/>
          <w:szCs w:val="20"/>
        </w:rPr>
        <w:t>17 March 2020</w:t>
      </w:r>
    </w:p>
    <w:p w14:paraId="638E7EFD" w14:textId="77777777" w:rsidR="001C6236" w:rsidRPr="00D2313B" w:rsidRDefault="001C6236" w:rsidP="001C6236">
      <w:pPr>
        <w:rPr>
          <w:rFonts w:cstheme="minorHAnsi"/>
          <w:sz w:val="20"/>
          <w:szCs w:val="20"/>
        </w:rPr>
      </w:pPr>
    </w:p>
    <w:p w14:paraId="6CAA89F9" w14:textId="77777777" w:rsidR="001C6236" w:rsidRPr="00D2313B" w:rsidRDefault="001C6236" w:rsidP="001C6236">
      <w:pPr>
        <w:rPr>
          <w:rFonts w:cstheme="minorHAnsi"/>
          <w:sz w:val="16"/>
          <w:szCs w:val="16"/>
        </w:rPr>
      </w:pPr>
      <w:r w:rsidRPr="00D2313B">
        <w:rPr>
          <w:rFonts w:cstheme="minorHAnsi"/>
          <w:sz w:val="20"/>
          <w:szCs w:val="20"/>
          <w:vertAlign w:val="superscript"/>
        </w:rPr>
        <w:t>1</w:t>
      </w:r>
      <w:r w:rsidRPr="00D2313B">
        <w:rPr>
          <w:rFonts w:cstheme="minorHAnsi"/>
          <w:sz w:val="16"/>
          <w:szCs w:val="16"/>
        </w:rPr>
        <w:t xml:space="preserve">pro forma </w:t>
      </w:r>
      <w:r>
        <w:rPr>
          <w:rFonts w:cstheme="minorHAnsi"/>
          <w:sz w:val="16"/>
          <w:szCs w:val="16"/>
        </w:rPr>
        <w:t xml:space="preserve">revenue is </w:t>
      </w:r>
      <w:r w:rsidRPr="00D2313B">
        <w:rPr>
          <w:rFonts w:cstheme="minorHAnsi"/>
          <w:sz w:val="16"/>
          <w:szCs w:val="16"/>
        </w:rPr>
        <w:t xml:space="preserve">compared </w:t>
      </w:r>
      <w:r>
        <w:rPr>
          <w:rFonts w:cstheme="minorHAnsi"/>
          <w:sz w:val="16"/>
          <w:szCs w:val="16"/>
        </w:rPr>
        <w:t>with</w:t>
      </w:r>
      <w:r w:rsidRPr="00D2313B">
        <w:rPr>
          <w:rFonts w:cstheme="minorHAnsi"/>
          <w:sz w:val="16"/>
          <w:szCs w:val="16"/>
        </w:rPr>
        <w:t xml:space="preserve"> full year 2018 results for PhD and SiS brands </w:t>
      </w:r>
      <w:r>
        <w:rPr>
          <w:rFonts w:cstheme="minorHAnsi"/>
          <w:sz w:val="16"/>
          <w:szCs w:val="16"/>
        </w:rPr>
        <w:t>as set out in the Financial Review</w:t>
      </w:r>
    </w:p>
    <w:p w14:paraId="657BFC08" w14:textId="77777777" w:rsidR="001C6236" w:rsidRDefault="001C6236" w:rsidP="001C6236">
      <w:pPr>
        <w:rPr>
          <w:rFonts w:cstheme="minorHAnsi"/>
          <w:sz w:val="16"/>
          <w:szCs w:val="16"/>
        </w:rPr>
      </w:pPr>
      <w:r w:rsidRPr="00D2313B">
        <w:rPr>
          <w:rFonts w:cstheme="minorHAnsi"/>
          <w:sz w:val="20"/>
          <w:szCs w:val="20"/>
          <w:vertAlign w:val="superscript"/>
        </w:rPr>
        <w:t>2</w:t>
      </w:r>
      <w:r w:rsidRPr="00D2313B">
        <w:rPr>
          <w:rFonts w:cstheme="minorHAnsi"/>
          <w:sz w:val="16"/>
          <w:szCs w:val="16"/>
        </w:rPr>
        <w:t>excludes depreciation, amortisation, no</w:t>
      </w:r>
      <w:r>
        <w:rPr>
          <w:rFonts w:cstheme="minorHAnsi"/>
          <w:sz w:val="16"/>
          <w:szCs w:val="16"/>
        </w:rPr>
        <w:t xml:space="preserve">n-cash share-based payments, </w:t>
      </w:r>
      <w:r w:rsidRPr="00D2313B">
        <w:rPr>
          <w:rFonts w:cstheme="minorHAnsi"/>
          <w:sz w:val="16"/>
          <w:szCs w:val="16"/>
        </w:rPr>
        <w:t>costs relating to the acquisition and integration of PhD Nutrition</w:t>
      </w:r>
      <w:r>
        <w:rPr>
          <w:rFonts w:cstheme="minorHAnsi"/>
          <w:sz w:val="16"/>
          <w:szCs w:val="16"/>
        </w:rPr>
        <w:t>, IFRS 16 Lease payments and foreign exchange variances on intercompany balances</w:t>
      </w:r>
      <w:r w:rsidRPr="00D2313B">
        <w:rPr>
          <w:rFonts w:cstheme="minorHAnsi"/>
          <w:sz w:val="16"/>
          <w:szCs w:val="16"/>
        </w:rPr>
        <w:t xml:space="preserve"> </w:t>
      </w:r>
      <w:r>
        <w:rPr>
          <w:rFonts w:cstheme="minorHAnsi"/>
          <w:sz w:val="16"/>
          <w:szCs w:val="16"/>
        </w:rPr>
        <w:t>(</w:t>
      </w:r>
      <w:r w:rsidRPr="00D2313B">
        <w:rPr>
          <w:rFonts w:cstheme="minorHAnsi"/>
          <w:sz w:val="16"/>
          <w:szCs w:val="16"/>
        </w:rPr>
        <w:t>see Note 1</w:t>
      </w:r>
      <w:r>
        <w:rPr>
          <w:rFonts w:cstheme="minorHAnsi"/>
          <w:sz w:val="16"/>
          <w:szCs w:val="16"/>
        </w:rPr>
        <w:t>)</w:t>
      </w:r>
    </w:p>
    <w:p w14:paraId="6080B25E" w14:textId="77777777" w:rsidR="001C6236" w:rsidRDefault="001C6236" w:rsidP="001C6236">
      <w:pPr>
        <w:rPr>
          <w:b/>
        </w:rPr>
      </w:pPr>
    </w:p>
    <w:p w14:paraId="4447BCD4" w14:textId="77777777" w:rsidR="001C6236" w:rsidRDefault="001C6236" w:rsidP="001C6236">
      <w:pPr>
        <w:rPr>
          <w:b/>
        </w:rPr>
      </w:pPr>
      <w:r>
        <w:rPr>
          <w:b/>
        </w:rPr>
        <w:t xml:space="preserve">FINANCIAL REVIEW </w:t>
      </w:r>
    </w:p>
    <w:p w14:paraId="0F23F473" w14:textId="77777777" w:rsidR="001C6236" w:rsidRPr="00D920A3" w:rsidRDefault="001C6236" w:rsidP="001C6236">
      <w:pPr>
        <w:jc w:val="both"/>
        <w:rPr>
          <w:b/>
        </w:rPr>
      </w:pPr>
      <w:r w:rsidRPr="00D920A3">
        <w:rPr>
          <w:b/>
        </w:rPr>
        <w:t xml:space="preserve">Revenue </w:t>
      </w:r>
    </w:p>
    <w:p w14:paraId="716594AD" w14:textId="77777777" w:rsidR="001C6236" w:rsidRPr="007F0AE3" w:rsidRDefault="001C6236" w:rsidP="001C6236">
      <w:pPr>
        <w:jc w:val="both"/>
        <w:rPr>
          <w:sz w:val="20"/>
          <w:szCs w:val="20"/>
        </w:rPr>
      </w:pPr>
      <w:r w:rsidRPr="007F0AE3">
        <w:rPr>
          <w:sz w:val="20"/>
          <w:szCs w:val="20"/>
        </w:rPr>
        <w:t xml:space="preserve">The </w:t>
      </w:r>
      <w:r>
        <w:rPr>
          <w:sz w:val="20"/>
          <w:szCs w:val="20"/>
        </w:rPr>
        <w:t>Group</w:t>
      </w:r>
      <w:r w:rsidRPr="007F0AE3">
        <w:rPr>
          <w:sz w:val="20"/>
          <w:szCs w:val="20"/>
        </w:rPr>
        <w:t xml:space="preserve"> has continued to grow strongly during the year ended 31 December 2019, with revenue increasing 137% to £50.6</w:t>
      </w:r>
      <w:r>
        <w:rPr>
          <w:sz w:val="20"/>
          <w:szCs w:val="20"/>
        </w:rPr>
        <w:t xml:space="preserve">m </w:t>
      </w:r>
      <w:r w:rsidRPr="007F0AE3">
        <w:rPr>
          <w:sz w:val="20"/>
          <w:szCs w:val="20"/>
        </w:rPr>
        <w:t>(2018: £21.3</w:t>
      </w:r>
      <w:r>
        <w:rPr>
          <w:sz w:val="20"/>
          <w:szCs w:val="20"/>
        </w:rPr>
        <w:t>m</w:t>
      </w:r>
      <w:r w:rsidRPr="007F0AE3">
        <w:rPr>
          <w:sz w:val="20"/>
          <w:szCs w:val="20"/>
        </w:rPr>
        <w:t>) driven by the full yea</w:t>
      </w:r>
      <w:r>
        <w:rPr>
          <w:sz w:val="20"/>
          <w:szCs w:val="20"/>
        </w:rPr>
        <w:t>r effect of the PhD acquisition. Pro forma revenue growth was</w:t>
      </w:r>
      <w:r w:rsidRPr="007F0AE3">
        <w:rPr>
          <w:sz w:val="20"/>
          <w:szCs w:val="20"/>
        </w:rPr>
        <w:t xml:space="preserve"> 2</w:t>
      </w:r>
      <w:r>
        <w:rPr>
          <w:sz w:val="20"/>
          <w:szCs w:val="20"/>
        </w:rPr>
        <w:t>3</w:t>
      </w:r>
      <w:r w:rsidRPr="007F0AE3">
        <w:rPr>
          <w:sz w:val="20"/>
          <w:szCs w:val="20"/>
        </w:rPr>
        <w:t>%</w:t>
      </w:r>
      <w:r>
        <w:rPr>
          <w:sz w:val="20"/>
          <w:szCs w:val="20"/>
        </w:rPr>
        <w:t>.</w:t>
      </w:r>
      <w:r w:rsidRPr="007F0AE3">
        <w:rPr>
          <w:sz w:val="20"/>
          <w:szCs w:val="20"/>
        </w:rPr>
        <w:t xml:space="preserve"> </w:t>
      </w:r>
    </w:p>
    <w:p w14:paraId="610593D4" w14:textId="77777777" w:rsidR="001C6236" w:rsidRDefault="001C6236" w:rsidP="001C6236">
      <w:pPr>
        <w:jc w:val="both"/>
        <w:rPr>
          <w:b/>
          <w:bCs/>
          <w:sz w:val="20"/>
          <w:szCs w:val="20"/>
        </w:rPr>
      </w:pPr>
      <w:r w:rsidRPr="007F0AE3">
        <w:rPr>
          <w:sz w:val="20"/>
          <w:szCs w:val="20"/>
        </w:rPr>
        <w:t>Revenue growth was achieved through a particularly strong performance across e-commerce, third-party online retailers and international channels and reflects the continued prioritised investment in these strategic channels. Th</w:t>
      </w:r>
      <w:r>
        <w:rPr>
          <w:sz w:val="20"/>
          <w:szCs w:val="20"/>
        </w:rPr>
        <w:t>is</w:t>
      </w:r>
      <w:r w:rsidRPr="007F0AE3">
        <w:rPr>
          <w:sz w:val="20"/>
          <w:szCs w:val="20"/>
        </w:rPr>
        <w:t xml:space="preserve"> investment resulted in these channels delivering 83% of revenue growth in the year.</w:t>
      </w:r>
    </w:p>
    <w:p w14:paraId="2E0503E8" w14:textId="77777777" w:rsidR="001C6236" w:rsidRPr="007F0AE3" w:rsidRDefault="001C6236" w:rsidP="001C6236">
      <w:pPr>
        <w:jc w:val="both"/>
        <w:rPr>
          <w:b/>
          <w:bCs/>
          <w:sz w:val="20"/>
          <w:szCs w:val="20"/>
        </w:rPr>
      </w:pPr>
      <w:r w:rsidRPr="007F0AE3">
        <w:rPr>
          <w:b/>
          <w:bCs/>
          <w:sz w:val="20"/>
          <w:szCs w:val="20"/>
        </w:rPr>
        <w:t xml:space="preserve">Gross margin </w:t>
      </w:r>
    </w:p>
    <w:p w14:paraId="1173B799" w14:textId="77777777" w:rsidR="001C6236" w:rsidRDefault="001C6236" w:rsidP="001C6236">
      <w:pPr>
        <w:jc w:val="both"/>
      </w:pPr>
      <w:r w:rsidRPr="00F30CB6">
        <w:rPr>
          <w:sz w:val="20"/>
          <w:szCs w:val="20"/>
        </w:rPr>
        <w:t xml:space="preserve">The </w:t>
      </w:r>
      <w:r>
        <w:rPr>
          <w:sz w:val="20"/>
          <w:szCs w:val="20"/>
        </w:rPr>
        <w:t>Group</w:t>
      </w:r>
      <w:r w:rsidRPr="00F30CB6">
        <w:rPr>
          <w:sz w:val="20"/>
          <w:szCs w:val="20"/>
        </w:rPr>
        <w:t xml:space="preserve"> generated a gross profit of £22.2</w:t>
      </w:r>
      <w:r>
        <w:rPr>
          <w:sz w:val="20"/>
          <w:szCs w:val="20"/>
        </w:rPr>
        <w:t>m</w:t>
      </w:r>
      <w:r w:rsidRPr="00F30CB6">
        <w:rPr>
          <w:sz w:val="20"/>
          <w:szCs w:val="20"/>
        </w:rPr>
        <w:t xml:space="preserve"> (2018: </w:t>
      </w:r>
      <w:r>
        <w:rPr>
          <w:sz w:val="20"/>
          <w:szCs w:val="20"/>
        </w:rPr>
        <w:t xml:space="preserve">pro forma £18.4m, reported </w:t>
      </w:r>
      <w:r w:rsidRPr="00F30CB6">
        <w:rPr>
          <w:sz w:val="20"/>
          <w:szCs w:val="20"/>
        </w:rPr>
        <w:t>£12.0</w:t>
      </w:r>
      <w:r>
        <w:rPr>
          <w:sz w:val="20"/>
          <w:szCs w:val="20"/>
        </w:rPr>
        <w:t>m</w:t>
      </w:r>
      <w:r w:rsidRPr="00F30CB6">
        <w:rPr>
          <w:sz w:val="20"/>
          <w:szCs w:val="20"/>
        </w:rPr>
        <w:t xml:space="preserve">) achieving a gross margin of 44%, compared </w:t>
      </w:r>
      <w:r>
        <w:rPr>
          <w:sz w:val="20"/>
          <w:szCs w:val="20"/>
        </w:rPr>
        <w:t>with</w:t>
      </w:r>
      <w:r w:rsidRPr="00F30CB6">
        <w:rPr>
          <w:sz w:val="20"/>
          <w:szCs w:val="20"/>
        </w:rPr>
        <w:t xml:space="preserve"> 45% pro forma gross margin </w:t>
      </w:r>
      <w:r>
        <w:rPr>
          <w:sz w:val="20"/>
          <w:szCs w:val="20"/>
        </w:rPr>
        <w:t>in 2018</w:t>
      </w:r>
      <w:r w:rsidRPr="00F30CB6">
        <w:rPr>
          <w:sz w:val="20"/>
          <w:szCs w:val="20"/>
        </w:rPr>
        <w:t xml:space="preserve">. </w:t>
      </w:r>
      <w:r>
        <w:rPr>
          <w:sz w:val="20"/>
          <w:szCs w:val="20"/>
        </w:rPr>
        <w:t>Gross margin</w:t>
      </w:r>
      <w:r w:rsidRPr="00F30CB6">
        <w:rPr>
          <w:sz w:val="20"/>
          <w:szCs w:val="20"/>
        </w:rPr>
        <w:t xml:space="preserve"> </w:t>
      </w:r>
      <w:r>
        <w:rPr>
          <w:sz w:val="20"/>
          <w:szCs w:val="20"/>
        </w:rPr>
        <w:t>wa</w:t>
      </w:r>
      <w:r w:rsidRPr="00F30CB6">
        <w:rPr>
          <w:sz w:val="20"/>
          <w:szCs w:val="20"/>
        </w:rPr>
        <w:t xml:space="preserve">s slightly lower due to one-off inventory impacts and whey global commodity prices. </w:t>
      </w:r>
      <w:r>
        <w:rPr>
          <w:sz w:val="20"/>
          <w:szCs w:val="20"/>
        </w:rPr>
        <w:t>The Group’s r</w:t>
      </w:r>
      <w:r w:rsidRPr="00F30CB6">
        <w:rPr>
          <w:sz w:val="20"/>
          <w:szCs w:val="20"/>
        </w:rPr>
        <w:t>eported</w:t>
      </w:r>
      <w:r>
        <w:rPr>
          <w:sz w:val="20"/>
          <w:szCs w:val="20"/>
        </w:rPr>
        <w:t xml:space="preserve"> gross</w:t>
      </w:r>
      <w:r w:rsidRPr="00F30CB6">
        <w:rPr>
          <w:sz w:val="20"/>
          <w:szCs w:val="20"/>
        </w:rPr>
        <w:t xml:space="preserve"> margin </w:t>
      </w:r>
      <w:r>
        <w:rPr>
          <w:sz w:val="20"/>
          <w:szCs w:val="20"/>
        </w:rPr>
        <w:t>was</w:t>
      </w:r>
      <w:r w:rsidRPr="00F30CB6">
        <w:rPr>
          <w:sz w:val="20"/>
          <w:szCs w:val="20"/>
        </w:rPr>
        <w:t xml:space="preserve"> 56%</w:t>
      </w:r>
      <w:r>
        <w:rPr>
          <w:sz w:val="20"/>
          <w:szCs w:val="20"/>
        </w:rPr>
        <w:t xml:space="preserve"> in 2018</w:t>
      </w:r>
      <w:r w:rsidRPr="00F30CB6">
        <w:rPr>
          <w:sz w:val="20"/>
          <w:szCs w:val="20"/>
        </w:rPr>
        <w:t xml:space="preserve"> </w:t>
      </w:r>
      <w:r>
        <w:rPr>
          <w:sz w:val="20"/>
          <w:szCs w:val="20"/>
        </w:rPr>
        <w:t xml:space="preserve">however, this </w:t>
      </w:r>
      <w:r w:rsidRPr="00F30CB6">
        <w:rPr>
          <w:sz w:val="20"/>
          <w:szCs w:val="20"/>
        </w:rPr>
        <w:t xml:space="preserve">only included PhD results for part of December.  </w:t>
      </w:r>
      <w:r>
        <w:rPr>
          <w:sz w:val="20"/>
          <w:szCs w:val="20"/>
        </w:rPr>
        <w:t>Gross margin improvement i</w:t>
      </w:r>
      <w:r w:rsidRPr="00F30CB6">
        <w:rPr>
          <w:sz w:val="20"/>
          <w:szCs w:val="20"/>
        </w:rPr>
        <w:t>s a key opportunity for the combined business through initiatives such as insourcing PhD protein manufacture and scale benefits in areas including purchasing and logistics</w:t>
      </w:r>
      <w:r w:rsidRPr="0053032C">
        <w:t xml:space="preserve">. </w:t>
      </w:r>
    </w:p>
    <w:p w14:paraId="1F5713AB" w14:textId="77777777" w:rsidR="001C6236" w:rsidRPr="00446EEB" w:rsidRDefault="001C6236" w:rsidP="001C6236">
      <w:pPr>
        <w:jc w:val="both"/>
        <w:rPr>
          <w:rFonts w:cstheme="minorHAnsi"/>
          <w:b/>
          <w:bCs/>
          <w:sz w:val="20"/>
          <w:szCs w:val="20"/>
        </w:rPr>
      </w:pPr>
      <w:r w:rsidRPr="00446EEB">
        <w:rPr>
          <w:rFonts w:cstheme="minorHAnsi"/>
          <w:b/>
          <w:bCs/>
          <w:sz w:val="20"/>
          <w:szCs w:val="20"/>
        </w:rPr>
        <w:t>PhD Pro forma</w:t>
      </w:r>
    </w:p>
    <w:p w14:paraId="6A9A4B9A" w14:textId="77777777" w:rsidR="001C6236" w:rsidRPr="00446EEB" w:rsidRDefault="001C6236" w:rsidP="001C6236">
      <w:pPr>
        <w:jc w:val="both"/>
        <w:rPr>
          <w:rFonts w:cstheme="minorHAnsi"/>
          <w:sz w:val="20"/>
          <w:szCs w:val="20"/>
        </w:rPr>
      </w:pPr>
      <w:r w:rsidRPr="00446EEB">
        <w:rPr>
          <w:rFonts w:cstheme="minorHAnsi"/>
          <w:sz w:val="20"/>
          <w:szCs w:val="20"/>
        </w:rPr>
        <w:t xml:space="preserve">Pro forma comparatives are based on the 2018 full year results for PhD and SiS brands. PhD was acquired by SiS plc on </w:t>
      </w:r>
      <w:r>
        <w:rPr>
          <w:rFonts w:cstheme="minorHAnsi"/>
          <w:sz w:val="20"/>
          <w:szCs w:val="20"/>
        </w:rPr>
        <w:t>6</w:t>
      </w:r>
      <w:r w:rsidRPr="00446EEB">
        <w:rPr>
          <w:rFonts w:cstheme="minorHAnsi"/>
          <w:sz w:val="20"/>
          <w:szCs w:val="20"/>
        </w:rPr>
        <w:t xml:space="preserve"> December</w:t>
      </w:r>
      <w:r>
        <w:rPr>
          <w:rFonts w:cstheme="minorHAnsi"/>
          <w:sz w:val="20"/>
          <w:szCs w:val="20"/>
        </w:rPr>
        <w:t xml:space="preserve"> 2018</w:t>
      </w:r>
      <w:r w:rsidRPr="00446EEB">
        <w:rPr>
          <w:rFonts w:cstheme="minorHAnsi"/>
          <w:sz w:val="20"/>
          <w:szCs w:val="20"/>
        </w:rPr>
        <w:t>, consequently, results for PhD from acquisition date only are consolidated in these accounts.</w:t>
      </w:r>
    </w:p>
    <w:p w14:paraId="3C5353E6" w14:textId="77777777" w:rsidR="001C6236" w:rsidRPr="00446EEB" w:rsidRDefault="001C6236" w:rsidP="001C6236">
      <w:pPr>
        <w:jc w:val="both"/>
        <w:rPr>
          <w:rFonts w:cstheme="minorHAnsi"/>
          <w:sz w:val="20"/>
          <w:szCs w:val="20"/>
        </w:rPr>
      </w:pPr>
      <w:r w:rsidRPr="00446EEB">
        <w:rPr>
          <w:rFonts w:cstheme="minorHAnsi"/>
          <w:sz w:val="20"/>
          <w:szCs w:val="20"/>
        </w:rPr>
        <w:t>For comparability pro forma full year figures for 2018 and 2019 for both PhD and SiS are shown below</w:t>
      </w:r>
    </w:p>
    <w:tbl>
      <w:tblPr>
        <w:tblW w:w="9040" w:type="dxa"/>
        <w:tblLook w:val="04A0" w:firstRow="1" w:lastRow="0" w:firstColumn="1" w:lastColumn="0" w:noHBand="0" w:noVBand="1"/>
      </w:tblPr>
      <w:tblGrid>
        <w:gridCol w:w="1700"/>
        <w:gridCol w:w="280"/>
        <w:gridCol w:w="1120"/>
        <w:gridCol w:w="1120"/>
        <w:gridCol w:w="1120"/>
        <w:gridCol w:w="280"/>
        <w:gridCol w:w="1026"/>
        <w:gridCol w:w="1197"/>
        <w:gridCol w:w="1197"/>
      </w:tblGrid>
      <w:tr w:rsidR="001C6236" w:rsidRPr="00446EEB" w14:paraId="0D128881" w14:textId="77777777" w:rsidTr="003A455D">
        <w:trPr>
          <w:trHeight w:val="290"/>
        </w:trPr>
        <w:tc>
          <w:tcPr>
            <w:tcW w:w="1700" w:type="dxa"/>
            <w:tcBorders>
              <w:top w:val="nil"/>
              <w:left w:val="nil"/>
              <w:bottom w:val="nil"/>
              <w:right w:val="nil"/>
            </w:tcBorders>
            <w:shd w:val="clear" w:color="000000" w:fill="FFFFFF"/>
            <w:noWrap/>
            <w:vAlign w:val="bottom"/>
            <w:hideMark/>
          </w:tcPr>
          <w:p w14:paraId="63C6692E" w14:textId="77777777" w:rsidR="001C6236" w:rsidRPr="00446EEB" w:rsidRDefault="001C6236" w:rsidP="003A455D">
            <w:pPr>
              <w:spacing w:after="0" w:line="240" w:lineRule="auto"/>
              <w:rPr>
                <w:rFonts w:eastAsia="Times New Roman" w:cstheme="minorHAnsi"/>
                <w:color w:val="000000"/>
                <w:sz w:val="18"/>
                <w:szCs w:val="18"/>
                <w:lang w:eastAsia="en-GB"/>
              </w:rPr>
            </w:pPr>
            <w:r w:rsidRPr="00446EEB">
              <w:rPr>
                <w:rFonts w:eastAsia="Times New Roman" w:cstheme="minorHAnsi"/>
                <w:color w:val="000000"/>
                <w:sz w:val="18"/>
                <w:szCs w:val="18"/>
                <w:lang w:eastAsia="en-GB"/>
              </w:rPr>
              <w:t> </w:t>
            </w:r>
          </w:p>
        </w:tc>
        <w:tc>
          <w:tcPr>
            <w:tcW w:w="280" w:type="dxa"/>
            <w:tcBorders>
              <w:top w:val="nil"/>
              <w:left w:val="nil"/>
              <w:bottom w:val="nil"/>
              <w:right w:val="nil"/>
            </w:tcBorders>
            <w:shd w:val="clear" w:color="000000" w:fill="FFFFFF"/>
            <w:vAlign w:val="center"/>
            <w:hideMark/>
          </w:tcPr>
          <w:p w14:paraId="4DBE069E"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 </w:t>
            </w:r>
          </w:p>
        </w:tc>
        <w:tc>
          <w:tcPr>
            <w:tcW w:w="3360" w:type="dxa"/>
            <w:gridSpan w:val="3"/>
            <w:tcBorders>
              <w:top w:val="nil"/>
              <w:left w:val="nil"/>
              <w:bottom w:val="nil"/>
              <w:right w:val="nil"/>
            </w:tcBorders>
            <w:shd w:val="clear" w:color="000000" w:fill="FFFFFF"/>
            <w:noWrap/>
            <w:vAlign w:val="center"/>
            <w:hideMark/>
          </w:tcPr>
          <w:p w14:paraId="0E10AD60"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2019</w:t>
            </w:r>
          </w:p>
        </w:tc>
        <w:tc>
          <w:tcPr>
            <w:tcW w:w="280" w:type="dxa"/>
            <w:tcBorders>
              <w:top w:val="nil"/>
              <w:left w:val="nil"/>
              <w:bottom w:val="nil"/>
              <w:right w:val="nil"/>
            </w:tcBorders>
            <w:shd w:val="clear" w:color="000000" w:fill="FFFFFF"/>
            <w:vAlign w:val="center"/>
            <w:hideMark/>
          </w:tcPr>
          <w:p w14:paraId="30D7E46A"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 </w:t>
            </w:r>
          </w:p>
        </w:tc>
        <w:tc>
          <w:tcPr>
            <w:tcW w:w="3420" w:type="dxa"/>
            <w:gridSpan w:val="3"/>
            <w:tcBorders>
              <w:top w:val="nil"/>
              <w:left w:val="nil"/>
              <w:bottom w:val="nil"/>
              <w:right w:val="nil"/>
            </w:tcBorders>
            <w:shd w:val="clear" w:color="000000" w:fill="FFFFFF"/>
            <w:noWrap/>
            <w:vAlign w:val="center"/>
            <w:hideMark/>
          </w:tcPr>
          <w:p w14:paraId="6562743F"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2018 (unaudited)</w:t>
            </w:r>
          </w:p>
        </w:tc>
      </w:tr>
      <w:tr w:rsidR="001C6236" w:rsidRPr="00446EEB" w14:paraId="19BCDD64" w14:textId="77777777" w:rsidTr="003A455D">
        <w:trPr>
          <w:trHeight w:val="380"/>
        </w:trPr>
        <w:tc>
          <w:tcPr>
            <w:tcW w:w="1700" w:type="dxa"/>
            <w:tcBorders>
              <w:top w:val="nil"/>
              <w:left w:val="nil"/>
              <w:bottom w:val="single" w:sz="4" w:space="0" w:color="auto"/>
              <w:right w:val="nil"/>
            </w:tcBorders>
            <w:shd w:val="clear" w:color="000000" w:fill="FFFFFF"/>
            <w:noWrap/>
            <w:vAlign w:val="bottom"/>
            <w:hideMark/>
          </w:tcPr>
          <w:p w14:paraId="1B0B7AC2" w14:textId="77777777" w:rsidR="001C6236" w:rsidRPr="00446EEB" w:rsidRDefault="001C6236" w:rsidP="003A455D">
            <w:pPr>
              <w:spacing w:after="0" w:line="240" w:lineRule="auto"/>
              <w:rPr>
                <w:rFonts w:eastAsia="Times New Roman" w:cstheme="minorHAnsi"/>
                <w:color w:val="000000"/>
                <w:sz w:val="18"/>
                <w:szCs w:val="18"/>
                <w:lang w:eastAsia="en-GB"/>
              </w:rPr>
            </w:pPr>
            <w:r w:rsidRPr="00446EEB">
              <w:rPr>
                <w:rFonts w:eastAsia="Times New Roman" w:cstheme="minorHAnsi"/>
                <w:color w:val="000000"/>
                <w:sz w:val="18"/>
                <w:szCs w:val="18"/>
                <w:lang w:eastAsia="en-GB"/>
              </w:rPr>
              <w:t>£'000</w:t>
            </w:r>
          </w:p>
        </w:tc>
        <w:tc>
          <w:tcPr>
            <w:tcW w:w="280" w:type="dxa"/>
            <w:tcBorders>
              <w:top w:val="nil"/>
              <w:left w:val="nil"/>
              <w:bottom w:val="single" w:sz="4" w:space="0" w:color="auto"/>
              <w:right w:val="nil"/>
            </w:tcBorders>
            <w:shd w:val="clear" w:color="000000" w:fill="FFFFFF"/>
            <w:vAlign w:val="center"/>
            <w:hideMark/>
          </w:tcPr>
          <w:p w14:paraId="2271194E" w14:textId="77777777" w:rsidR="001C6236" w:rsidRPr="00446EEB" w:rsidRDefault="001C6236" w:rsidP="003A455D">
            <w:pPr>
              <w:spacing w:after="0" w:line="240" w:lineRule="auto"/>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 </w:t>
            </w:r>
          </w:p>
        </w:tc>
        <w:tc>
          <w:tcPr>
            <w:tcW w:w="1120" w:type="dxa"/>
            <w:tcBorders>
              <w:top w:val="nil"/>
              <w:left w:val="nil"/>
              <w:bottom w:val="single" w:sz="4" w:space="0" w:color="auto"/>
              <w:right w:val="nil"/>
            </w:tcBorders>
            <w:shd w:val="clear" w:color="000000" w:fill="FFFFFF"/>
            <w:noWrap/>
            <w:vAlign w:val="center"/>
            <w:hideMark/>
          </w:tcPr>
          <w:p w14:paraId="67E47AFC"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SiS</w:t>
            </w:r>
          </w:p>
        </w:tc>
        <w:tc>
          <w:tcPr>
            <w:tcW w:w="1120" w:type="dxa"/>
            <w:tcBorders>
              <w:top w:val="nil"/>
              <w:left w:val="nil"/>
              <w:bottom w:val="single" w:sz="4" w:space="0" w:color="auto"/>
              <w:right w:val="nil"/>
            </w:tcBorders>
            <w:shd w:val="clear" w:color="000000" w:fill="FFFFFF"/>
            <w:noWrap/>
            <w:vAlign w:val="center"/>
            <w:hideMark/>
          </w:tcPr>
          <w:p w14:paraId="434EF17C"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Ph</w:t>
            </w:r>
            <w:r>
              <w:rPr>
                <w:rFonts w:eastAsia="Times New Roman" w:cstheme="minorHAnsi"/>
                <w:b/>
                <w:bCs/>
                <w:color w:val="000000"/>
                <w:sz w:val="18"/>
                <w:szCs w:val="18"/>
                <w:lang w:eastAsia="en-GB"/>
              </w:rPr>
              <w:t>D</w:t>
            </w:r>
          </w:p>
        </w:tc>
        <w:tc>
          <w:tcPr>
            <w:tcW w:w="1120" w:type="dxa"/>
            <w:tcBorders>
              <w:top w:val="nil"/>
              <w:left w:val="nil"/>
              <w:bottom w:val="single" w:sz="4" w:space="0" w:color="auto"/>
              <w:right w:val="nil"/>
            </w:tcBorders>
            <w:shd w:val="clear" w:color="000000" w:fill="FFFFFF"/>
            <w:noWrap/>
            <w:vAlign w:val="center"/>
            <w:hideMark/>
          </w:tcPr>
          <w:p w14:paraId="4692F704"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Total</w:t>
            </w:r>
          </w:p>
        </w:tc>
        <w:tc>
          <w:tcPr>
            <w:tcW w:w="280" w:type="dxa"/>
            <w:tcBorders>
              <w:top w:val="nil"/>
              <w:left w:val="nil"/>
              <w:bottom w:val="single" w:sz="4" w:space="0" w:color="auto"/>
              <w:right w:val="nil"/>
            </w:tcBorders>
            <w:shd w:val="clear" w:color="000000" w:fill="FFFFFF"/>
            <w:vAlign w:val="center"/>
            <w:hideMark/>
          </w:tcPr>
          <w:p w14:paraId="0F1B2D8C" w14:textId="77777777" w:rsidR="001C6236" w:rsidRPr="00446EEB" w:rsidRDefault="001C6236" w:rsidP="003A455D">
            <w:pPr>
              <w:spacing w:after="0" w:line="240" w:lineRule="auto"/>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 </w:t>
            </w:r>
          </w:p>
        </w:tc>
        <w:tc>
          <w:tcPr>
            <w:tcW w:w="1026" w:type="dxa"/>
            <w:tcBorders>
              <w:top w:val="nil"/>
              <w:left w:val="nil"/>
              <w:bottom w:val="single" w:sz="4" w:space="0" w:color="auto"/>
              <w:right w:val="nil"/>
            </w:tcBorders>
            <w:shd w:val="clear" w:color="000000" w:fill="FFFFFF"/>
            <w:noWrap/>
            <w:vAlign w:val="center"/>
            <w:hideMark/>
          </w:tcPr>
          <w:p w14:paraId="20AF0637"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SiS</w:t>
            </w:r>
          </w:p>
        </w:tc>
        <w:tc>
          <w:tcPr>
            <w:tcW w:w="1197" w:type="dxa"/>
            <w:tcBorders>
              <w:top w:val="nil"/>
              <w:left w:val="nil"/>
              <w:bottom w:val="single" w:sz="4" w:space="0" w:color="auto"/>
              <w:right w:val="nil"/>
            </w:tcBorders>
            <w:shd w:val="clear" w:color="000000" w:fill="FFFFFF"/>
            <w:noWrap/>
            <w:vAlign w:val="center"/>
            <w:hideMark/>
          </w:tcPr>
          <w:p w14:paraId="758E21DA"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Ph</w:t>
            </w:r>
            <w:r>
              <w:rPr>
                <w:rFonts w:eastAsia="Times New Roman" w:cstheme="minorHAnsi"/>
                <w:b/>
                <w:bCs/>
                <w:color w:val="000000"/>
                <w:sz w:val="18"/>
                <w:szCs w:val="18"/>
                <w:lang w:eastAsia="en-GB"/>
              </w:rPr>
              <w:t>D</w:t>
            </w:r>
          </w:p>
        </w:tc>
        <w:tc>
          <w:tcPr>
            <w:tcW w:w="1197" w:type="dxa"/>
            <w:tcBorders>
              <w:top w:val="nil"/>
              <w:left w:val="nil"/>
              <w:bottom w:val="single" w:sz="4" w:space="0" w:color="auto"/>
              <w:right w:val="nil"/>
            </w:tcBorders>
            <w:shd w:val="clear" w:color="000000" w:fill="FFFFFF"/>
            <w:noWrap/>
            <w:vAlign w:val="center"/>
            <w:hideMark/>
          </w:tcPr>
          <w:p w14:paraId="68B59909"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Total</w:t>
            </w:r>
          </w:p>
        </w:tc>
      </w:tr>
      <w:tr w:rsidR="001C6236" w:rsidRPr="00446EEB" w14:paraId="39AA5CFD" w14:textId="77777777" w:rsidTr="003A455D">
        <w:trPr>
          <w:trHeight w:val="380"/>
        </w:trPr>
        <w:tc>
          <w:tcPr>
            <w:tcW w:w="1700" w:type="dxa"/>
            <w:tcBorders>
              <w:top w:val="nil"/>
              <w:left w:val="nil"/>
              <w:bottom w:val="nil"/>
              <w:right w:val="nil"/>
            </w:tcBorders>
            <w:shd w:val="clear" w:color="000000" w:fill="FFFFFF"/>
            <w:noWrap/>
            <w:vAlign w:val="center"/>
            <w:hideMark/>
          </w:tcPr>
          <w:p w14:paraId="7D86071D" w14:textId="77777777" w:rsidR="001C6236" w:rsidRPr="00446EEB" w:rsidRDefault="001C6236" w:rsidP="003A455D">
            <w:pPr>
              <w:spacing w:after="0" w:line="240" w:lineRule="auto"/>
              <w:rPr>
                <w:rFonts w:eastAsia="Times New Roman" w:cstheme="minorHAnsi"/>
                <w:color w:val="000000"/>
                <w:sz w:val="18"/>
                <w:szCs w:val="18"/>
                <w:lang w:eastAsia="en-GB"/>
              </w:rPr>
            </w:pPr>
            <w:r w:rsidRPr="00446EEB">
              <w:rPr>
                <w:rFonts w:eastAsia="Times New Roman" w:cstheme="minorHAnsi"/>
                <w:color w:val="000000"/>
                <w:sz w:val="18"/>
                <w:szCs w:val="18"/>
                <w:lang w:eastAsia="en-GB"/>
              </w:rPr>
              <w:t>Revenue</w:t>
            </w:r>
          </w:p>
        </w:tc>
        <w:tc>
          <w:tcPr>
            <w:tcW w:w="280" w:type="dxa"/>
            <w:tcBorders>
              <w:top w:val="nil"/>
              <w:left w:val="nil"/>
              <w:bottom w:val="nil"/>
              <w:right w:val="nil"/>
            </w:tcBorders>
            <w:shd w:val="clear" w:color="000000" w:fill="FFFFFF"/>
            <w:vAlign w:val="center"/>
            <w:hideMark/>
          </w:tcPr>
          <w:p w14:paraId="19CBCFCF" w14:textId="77777777" w:rsidR="001C6236" w:rsidRPr="00446EEB" w:rsidRDefault="001C6236" w:rsidP="003A455D">
            <w:pPr>
              <w:spacing w:after="0" w:line="240" w:lineRule="auto"/>
              <w:jc w:val="right"/>
              <w:rPr>
                <w:rFonts w:eastAsia="Times New Roman" w:cstheme="minorHAnsi"/>
                <w:color w:val="000000"/>
                <w:sz w:val="18"/>
                <w:szCs w:val="18"/>
                <w:lang w:eastAsia="en-GB"/>
              </w:rPr>
            </w:pPr>
            <w:r w:rsidRPr="00446EEB">
              <w:rPr>
                <w:rFonts w:eastAsia="Times New Roman" w:cstheme="minorHAnsi"/>
                <w:color w:val="000000"/>
                <w:sz w:val="18"/>
                <w:szCs w:val="18"/>
                <w:lang w:eastAsia="en-GB"/>
              </w:rPr>
              <w:t> </w:t>
            </w:r>
          </w:p>
        </w:tc>
        <w:tc>
          <w:tcPr>
            <w:tcW w:w="1120" w:type="dxa"/>
            <w:tcBorders>
              <w:top w:val="nil"/>
              <w:left w:val="nil"/>
              <w:bottom w:val="nil"/>
              <w:right w:val="nil"/>
            </w:tcBorders>
            <w:shd w:val="clear" w:color="000000" w:fill="FFFFFF"/>
            <w:noWrap/>
            <w:vAlign w:val="center"/>
            <w:hideMark/>
          </w:tcPr>
          <w:p w14:paraId="3AEFFDCF" w14:textId="77777777"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24,601</w:t>
            </w:r>
          </w:p>
        </w:tc>
        <w:tc>
          <w:tcPr>
            <w:tcW w:w="1120" w:type="dxa"/>
            <w:tcBorders>
              <w:top w:val="nil"/>
              <w:left w:val="nil"/>
              <w:bottom w:val="nil"/>
              <w:right w:val="nil"/>
            </w:tcBorders>
            <w:shd w:val="clear" w:color="000000" w:fill="FFFFFF"/>
            <w:noWrap/>
            <w:vAlign w:val="center"/>
            <w:hideMark/>
          </w:tcPr>
          <w:p w14:paraId="23E8BE3A" w14:textId="77777777"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25,972</w:t>
            </w:r>
          </w:p>
        </w:tc>
        <w:tc>
          <w:tcPr>
            <w:tcW w:w="1120" w:type="dxa"/>
            <w:tcBorders>
              <w:top w:val="nil"/>
              <w:left w:val="nil"/>
              <w:bottom w:val="nil"/>
              <w:right w:val="nil"/>
            </w:tcBorders>
            <w:shd w:val="clear" w:color="000000" w:fill="FFFFFF"/>
            <w:noWrap/>
            <w:vAlign w:val="center"/>
            <w:hideMark/>
          </w:tcPr>
          <w:p w14:paraId="32D66A3F" w14:textId="77777777"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50,573</w:t>
            </w:r>
          </w:p>
        </w:tc>
        <w:tc>
          <w:tcPr>
            <w:tcW w:w="280" w:type="dxa"/>
            <w:tcBorders>
              <w:top w:val="nil"/>
              <w:left w:val="nil"/>
              <w:bottom w:val="nil"/>
              <w:right w:val="nil"/>
            </w:tcBorders>
            <w:shd w:val="clear" w:color="000000" w:fill="FFFFFF"/>
            <w:vAlign w:val="center"/>
            <w:hideMark/>
          </w:tcPr>
          <w:p w14:paraId="66B6CF0C" w14:textId="77777777" w:rsidR="001C6236" w:rsidRPr="00446EEB" w:rsidRDefault="001C6236" w:rsidP="003A455D">
            <w:pPr>
              <w:spacing w:after="0" w:line="240" w:lineRule="auto"/>
              <w:jc w:val="right"/>
              <w:rPr>
                <w:rFonts w:eastAsia="Times New Roman" w:cstheme="minorHAnsi"/>
                <w:color w:val="000000"/>
                <w:sz w:val="18"/>
                <w:szCs w:val="18"/>
                <w:lang w:eastAsia="en-GB"/>
              </w:rPr>
            </w:pPr>
            <w:r w:rsidRPr="00446EEB">
              <w:rPr>
                <w:rFonts w:eastAsia="Times New Roman" w:cstheme="minorHAnsi"/>
                <w:color w:val="000000"/>
                <w:sz w:val="18"/>
                <w:szCs w:val="18"/>
                <w:lang w:eastAsia="en-GB"/>
              </w:rPr>
              <w:t> </w:t>
            </w:r>
          </w:p>
        </w:tc>
        <w:tc>
          <w:tcPr>
            <w:tcW w:w="1026" w:type="dxa"/>
            <w:tcBorders>
              <w:top w:val="nil"/>
              <w:left w:val="nil"/>
              <w:bottom w:val="nil"/>
              <w:right w:val="nil"/>
            </w:tcBorders>
            <w:shd w:val="clear" w:color="000000" w:fill="FFFFFF"/>
            <w:noWrap/>
            <w:vAlign w:val="center"/>
            <w:hideMark/>
          </w:tcPr>
          <w:p w14:paraId="0E31E93D" w14:textId="77777777"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19,813</w:t>
            </w:r>
          </w:p>
        </w:tc>
        <w:tc>
          <w:tcPr>
            <w:tcW w:w="1197" w:type="dxa"/>
            <w:tcBorders>
              <w:top w:val="nil"/>
              <w:left w:val="nil"/>
              <w:bottom w:val="nil"/>
              <w:right w:val="nil"/>
            </w:tcBorders>
            <w:shd w:val="clear" w:color="000000" w:fill="FFFFFF"/>
            <w:noWrap/>
            <w:vAlign w:val="center"/>
            <w:hideMark/>
          </w:tcPr>
          <w:p w14:paraId="2BCD6F86" w14:textId="77777777"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21,161</w:t>
            </w:r>
          </w:p>
        </w:tc>
        <w:tc>
          <w:tcPr>
            <w:tcW w:w="1197" w:type="dxa"/>
            <w:tcBorders>
              <w:top w:val="nil"/>
              <w:left w:val="nil"/>
              <w:bottom w:val="nil"/>
              <w:right w:val="nil"/>
            </w:tcBorders>
            <w:shd w:val="clear" w:color="000000" w:fill="FFFFFF"/>
            <w:noWrap/>
            <w:vAlign w:val="center"/>
            <w:hideMark/>
          </w:tcPr>
          <w:p w14:paraId="033C4186" w14:textId="77777777"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40,974</w:t>
            </w:r>
          </w:p>
        </w:tc>
      </w:tr>
      <w:tr w:rsidR="001C6236" w:rsidRPr="00446EEB" w14:paraId="38427128" w14:textId="77777777" w:rsidTr="003A455D">
        <w:trPr>
          <w:trHeight w:val="380"/>
        </w:trPr>
        <w:tc>
          <w:tcPr>
            <w:tcW w:w="1700" w:type="dxa"/>
            <w:tcBorders>
              <w:top w:val="nil"/>
              <w:left w:val="nil"/>
              <w:bottom w:val="nil"/>
              <w:right w:val="nil"/>
            </w:tcBorders>
            <w:shd w:val="clear" w:color="000000" w:fill="FFFFFF"/>
            <w:noWrap/>
            <w:vAlign w:val="center"/>
            <w:hideMark/>
          </w:tcPr>
          <w:p w14:paraId="57BE2F4D" w14:textId="77777777" w:rsidR="001C6236" w:rsidRPr="00446EEB" w:rsidRDefault="001C6236" w:rsidP="003A455D">
            <w:pPr>
              <w:spacing w:after="0" w:line="240" w:lineRule="auto"/>
              <w:rPr>
                <w:rFonts w:eastAsia="Times New Roman" w:cstheme="minorHAnsi"/>
                <w:color w:val="000000"/>
                <w:sz w:val="18"/>
                <w:szCs w:val="18"/>
                <w:lang w:eastAsia="en-GB"/>
              </w:rPr>
            </w:pPr>
            <w:r w:rsidRPr="00446EEB">
              <w:rPr>
                <w:rFonts w:eastAsia="Times New Roman" w:cstheme="minorHAnsi"/>
                <w:color w:val="000000"/>
                <w:sz w:val="18"/>
                <w:szCs w:val="18"/>
                <w:lang w:eastAsia="en-GB"/>
              </w:rPr>
              <w:t>Cost of goods</w:t>
            </w:r>
          </w:p>
        </w:tc>
        <w:tc>
          <w:tcPr>
            <w:tcW w:w="280" w:type="dxa"/>
            <w:tcBorders>
              <w:top w:val="nil"/>
              <w:left w:val="nil"/>
              <w:bottom w:val="nil"/>
              <w:right w:val="nil"/>
            </w:tcBorders>
            <w:shd w:val="clear" w:color="000000" w:fill="FFFFFF"/>
            <w:vAlign w:val="center"/>
            <w:hideMark/>
          </w:tcPr>
          <w:p w14:paraId="36298234" w14:textId="77777777" w:rsidR="001C6236" w:rsidRPr="00446EEB" w:rsidRDefault="001C6236" w:rsidP="003A455D">
            <w:pPr>
              <w:spacing w:after="0" w:line="240" w:lineRule="auto"/>
              <w:jc w:val="right"/>
              <w:rPr>
                <w:rFonts w:eastAsia="Times New Roman" w:cstheme="minorHAnsi"/>
                <w:color w:val="000000"/>
                <w:sz w:val="18"/>
                <w:szCs w:val="18"/>
                <w:lang w:eastAsia="en-GB"/>
              </w:rPr>
            </w:pPr>
            <w:r w:rsidRPr="00446EEB">
              <w:rPr>
                <w:rFonts w:eastAsia="Times New Roman" w:cstheme="minorHAnsi"/>
                <w:color w:val="000000"/>
                <w:sz w:val="18"/>
                <w:szCs w:val="18"/>
                <w:lang w:eastAsia="en-GB"/>
              </w:rPr>
              <w:t> </w:t>
            </w:r>
          </w:p>
        </w:tc>
        <w:tc>
          <w:tcPr>
            <w:tcW w:w="1120" w:type="dxa"/>
            <w:tcBorders>
              <w:top w:val="nil"/>
              <w:left w:val="nil"/>
              <w:bottom w:val="nil"/>
              <w:right w:val="nil"/>
            </w:tcBorders>
            <w:shd w:val="clear" w:color="000000" w:fill="FFFFFF"/>
            <w:noWrap/>
            <w:vAlign w:val="center"/>
            <w:hideMark/>
          </w:tcPr>
          <w:p w14:paraId="7174C793" w14:textId="6BD64D06"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(10,70</w:t>
            </w:r>
            <w:r w:rsidR="00FA6A73">
              <w:rPr>
                <w:rFonts w:eastAsia="Times New Roman" w:cstheme="minorHAnsi"/>
                <w:color w:val="000000"/>
                <w:sz w:val="18"/>
                <w:szCs w:val="18"/>
                <w:lang w:eastAsia="en-GB"/>
              </w:rPr>
              <w:t>2)</w:t>
            </w:r>
          </w:p>
        </w:tc>
        <w:tc>
          <w:tcPr>
            <w:tcW w:w="1120" w:type="dxa"/>
            <w:tcBorders>
              <w:top w:val="nil"/>
              <w:left w:val="nil"/>
              <w:bottom w:val="nil"/>
              <w:right w:val="nil"/>
            </w:tcBorders>
            <w:shd w:val="clear" w:color="000000" w:fill="FFFFFF"/>
            <w:noWrap/>
            <w:vAlign w:val="center"/>
            <w:hideMark/>
          </w:tcPr>
          <w:p w14:paraId="28194592" w14:textId="77777777"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(17,664)</w:t>
            </w:r>
          </w:p>
        </w:tc>
        <w:tc>
          <w:tcPr>
            <w:tcW w:w="1120" w:type="dxa"/>
            <w:tcBorders>
              <w:top w:val="nil"/>
              <w:left w:val="nil"/>
              <w:bottom w:val="nil"/>
              <w:right w:val="nil"/>
            </w:tcBorders>
            <w:shd w:val="clear" w:color="000000" w:fill="FFFFFF"/>
            <w:noWrap/>
            <w:vAlign w:val="center"/>
            <w:hideMark/>
          </w:tcPr>
          <w:p w14:paraId="6C8EAC8E" w14:textId="77777777"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(28,366)</w:t>
            </w:r>
          </w:p>
        </w:tc>
        <w:tc>
          <w:tcPr>
            <w:tcW w:w="280" w:type="dxa"/>
            <w:tcBorders>
              <w:top w:val="nil"/>
              <w:left w:val="nil"/>
              <w:bottom w:val="nil"/>
              <w:right w:val="nil"/>
            </w:tcBorders>
            <w:shd w:val="clear" w:color="000000" w:fill="FFFFFF"/>
            <w:vAlign w:val="center"/>
            <w:hideMark/>
          </w:tcPr>
          <w:p w14:paraId="387EBE78" w14:textId="77777777" w:rsidR="001C6236" w:rsidRPr="00446EEB" w:rsidRDefault="001C6236" w:rsidP="003A455D">
            <w:pPr>
              <w:spacing w:after="0" w:line="240" w:lineRule="auto"/>
              <w:jc w:val="right"/>
              <w:rPr>
                <w:rFonts w:eastAsia="Times New Roman" w:cstheme="minorHAnsi"/>
                <w:color w:val="000000"/>
                <w:sz w:val="18"/>
                <w:szCs w:val="18"/>
                <w:lang w:eastAsia="en-GB"/>
              </w:rPr>
            </w:pPr>
            <w:r w:rsidRPr="00446EEB">
              <w:rPr>
                <w:rFonts w:eastAsia="Times New Roman" w:cstheme="minorHAnsi"/>
                <w:color w:val="000000"/>
                <w:sz w:val="18"/>
                <w:szCs w:val="18"/>
                <w:lang w:eastAsia="en-GB"/>
              </w:rPr>
              <w:t> </w:t>
            </w:r>
          </w:p>
        </w:tc>
        <w:tc>
          <w:tcPr>
            <w:tcW w:w="1026" w:type="dxa"/>
            <w:tcBorders>
              <w:top w:val="nil"/>
              <w:left w:val="nil"/>
              <w:bottom w:val="nil"/>
              <w:right w:val="nil"/>
            </w:tcBorders>
            <w:shd w:val="clear" w:color="000000" w:fill="FFFFFF"/>
            <w:noWrap/>
            <w:vAlign w:val="center"/>
            <w:hideMark/>
          </w:tcPr>
          <w:p w14:paraId="715DD73C" w14:textId="77777777"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(8,287)</w:t>
            </w:r>
          </w:p>
        </w:tc>
        <w:tc>
          <w:tcPr>
            <w:tcW w:w="1197" w:type="dxa"/>
            <w:tcBorders>
              <w:top w:val="nil"/>
              <w:left w:val="nil"/>
              <w:bottom w:val="nil"/>
              <w:right w:val="nil"/>
            </w:tcBorders>
            <w:shd w:val="clear" w:color="000000" w:fill="FFFFFF"/>
            <w:noWrap/>
            <w:vAlign w:val="center"/>
            <w:hideMark/>
          </w:tcPr>
          <w:p w14:paraId="38170A3D" w14:textId="77777777"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(14,245)</w:t>
            </w:r>
          </w:p>
        </w:tc>
        <w:tc>
          <w:tcPr>
            <w:tcW w:w="1197" w:type="dxa"/>
            <w:tcBorders>
              <w:top w:val="nil"/>
              <w:left w:val="nil"/>
              <w:bottom w:val="nil"/>
              <w:right w:val="nil"/>
            </w:tcBorders>
            <w:shd w:val="clear" w:color="000000" w:fill="FFFFFF"/>
            <w:noWrap/>
            <w:vAlign w:val="center"/>
            <w:hideMark/>
          </w:tcPr>
          <w:p w14:paraId="66F0A04C" w14:textId="77777777" w:rsidR="001C6236" w:rsidRPr="00446EEB" w:rsidRDefault="001C6236" w:rsidP="003A455D">
            <w:pPr>
              <w:spacing w:after="0" w:line="240" w:lineRule="auto"/>
              <w:jc w:val="center"/>
              <w:rPr>
                <w:rFonts w:eastAsia="Times New Roman" w:cstheme="minorHAnsi"/>
                <w:color w:val="000000"/>
                <w:sz w:val="18"/>
                <w:szCs w:val="18"/>
                <w:lang w:eastAsia="en-GB"/>
              </w:rPr>
            </w:pPr>
            <w:r w:rsidRPr="00446EEB">
              <w:rPr>
                <w:rFonts w:eastAsia="Times New Roman" w:cstheme="minorHAnsi"/>
                <w:color w:val="000000"/>
                <w:sz w:val="18"/>
                <w:szCs w:val="18"/>
                <w:lang w:eastAsia="en-GB"/>
              </w:rPr>
              <w:t>(22,532)</w:t>
            </w:r>
          </w:p>
        </w:tc>
      </w:tr>
      <w:tr w:rsidR="001C6236" w:rsidRPr="00446EEB" w14:paraId="6598389E" w14:textId="77777777" w:rsidTr="003A455D">
        <w:trPr>
          <w:trHeight w:val="380"/>
        </w:trPr>
        <w:tc>
          <w:tcPr>
            <w:tcW w:w="1700" w:type="dxa"/>
            <w:tcBorders>
              <w:top w:val="single" w:sz="4" w:space="0" w:color="auto"/>
              <w:left w:val="nil"/>
              <w:bottom w:val="single" w:sz="4" w:space="0" w:color="auto"/>
              <w:right w:val="nil"/>
            </w:tcBorders>
            <w:shd w:val="clear" w:color="000000" w:fill="FFFFFF"/>
            <w:noWrap/>
            <w:vAlign w:val="center"/>
            <w:hideMark/>
          </w:tcPr>
          <w:p w14:paraId="67FBD46F" w14:textId="77777777" w:rsidR="001C6236" w:rsidRPr="00446EEB" w:rsidRDefault="001C6236" w:rsidP="003A455D">
            <w:pPr>
              <w:spacing w:after="0" w:line="240" w:lineRule="auto"/>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Gross Profit</w:t>
            </w:r>
          </w:p>
        </w:tc>
        <w:tc>
          <w:tcPr>
            <w:tcW w:w="280" w:type="dxa"/>
            <w:tcBorders>
              <w:top w:val="single" w:sz="4" w:space="0" w:color="auto"/>
              <w:left w:val="nil"/>
              <w:bottom w:val="single" w:sz="4" w:space="0" w:color="auto"/>
              <w:right w:val="nil"/>
            </w:tcBorders>
            <w:shd w:val="clear" w:color="000000" w:fill="FFFFFF"/>
            <w:vAlign w:val="center"/>
            <w:hideMark/>
          </w:tcPr>
          <w:p w14:paraId="43119C69" w14:textId="77777777" w:rsidR="001C6236" w:rsidRPr="00446EEB" w:rsidRDefault="001C6236" w:rsidP="003A455D">
            <w:pPr>
              <w:spacing w:after="0" w:line="240" w:lineRule="auto"/>
              <w:jc w:val="right"/>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 </w:t>
            </w:r>
          </w:p>
        </w:tc>
        <w:tc>
          <w:tcPr>
            <w:tcW w:w="1120" w:type="dxa"/>
            <w:tcBorders>
              <w:top w:val="single" w:sz="4" w:space="0" w:color="auto"/>
              <w:left w:val="nil"/>
              <w:bottom w:val="single" w:sz="4" w:space="0" w:color="auto"/>
              <w:right w:val="nil"/>
            </w:tcBorders>
            <w:shd w:val="clear" w:color="000000" w:fill="FFFFFF"/>
            <w:noWrap/>
            <w:vAlign w:val="center"/>
            <w:hideMark/>
          </w:tcPr>
          <w:p w14:paraId="15AA4C2D"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13,899</w:t>
            </w:r>
          </w:p>
        </w:tc>
        <w:tc>
          <w:tcPr>
            <w:tcW w:w="1120" w:type="dxa"/>
            <w:tcBorders>
              <w:top w:val="single" w:sz="4" w:space="0" w:color="auto"/>
              <w:left w:val="nil"/>
              <w:bottom w:val="single" w:sz="4" w:space="0" w:color="auto"/>
              <w:right w:val="nil"/>
            </w:tcBorders>
            <w:shd w:val="clear" w:color="000000" w:fill="FFFFFF"/>
            <w:noWrap/>
            <w:vAlign w:val="center"/>
            <w:hideMark/>
          </w:tcPr>
          <w:p w14:paraId="413920A1"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8,308</w:t>
            </w:r>
          </w:p>
        </w:tc>
        <w:tc>
          <w:tcPr>
            <w:tcW w:w="1120" w:type="dxa"/>
            <w:tcBorders>
              <w:top w:val="single" w:sz="4" w:space="0" w:color="auto"/>
              <w:left w:val="nil"/>
              <w:bottom w:val="single" w:sz="4" w:space="0" w:color="auto"/>
              <w:right w:val="nil"/>
            </w:tcBorders>
            <w:shd w:val="clear" w:color="000000" w:fill="FFFFFF"/>
            <w:noWrap/>
            <w:vAlign w:val="center"/>
            <w:hideMark/>
          </w:tcPr>
          <w:p w14:paraId="47A5A8DD"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22,207</w:t>
            </w:r>
          </w:p>
        </w:tc>
        <w:tc>
          <w:tcPr>
            <w:tcW w:w="280" w:type="dxa"/>
            <w:tcBorders>
              <w:top w:val="single" w:sz="4" w:space="0" w:color="auto"/>
              <w:left w:val="nil"/>
              <w:bottom w:val="single" w:sz="4" w:space="0" w:color="auto"/>
              <w:right w:val="nil"/>
            </w:tcBorders>
            <w:shd w:val="clear" w:color="000000" w:fill="FFFFFF"/>
            <w:vAlign w:val="center"/>
            <w:hideMark/>
          </w:tcPr>
          <w:p w14:paraId="394C0119" w14:textId="77777777" w:rsidR="001C6236" w:rsidRPr="00446EEB" w:rsidRDefault="001C6236" w:rsidP="003A455D">
            <w:pPr>
              <w:spacing w:after="0" w:line="240" w:lineRule="auto"/>
              <w:jc w:val="right"/>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 </w:t>
            </w:r>
          </w:p>
        </w:tc>
        <w:tc>
          <w:tcPr>
            <w:tcW w:w="1026" w:type="dxa"/>
            <w:tcBorders>
              <w:top w:val="single" w:sz="4" w:space="0" w:color="auto"/>
              <w:left w:val="nil"/>
              <w:bottom w:val="single" w:sz="4" w:space="0" w:color="auto"/>
              <w:right w:val="nil"/>
            </w:tcBorders>
            <w:shd w:val="clear" w:color="000000" w:fill="FFFFFF"/>
            <w:noWrap/>
            <w:vAlign w:val="center"/>
            <w:hideMark/>
          </w:tcPr>
          <w:p w14:paraId="33D2FB9E"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11,526</w:t>
            </w:r>
          </w:p>
        </w:tc>
        <w:tc>
          <w:tcPr>
            <w:tcW w:w="1197" w:type="dxa"/>
            <w:tcBorders>
              <w:top w:val="single" w:sz="4" w:space="0" w:color="auto"/>
              <w:left w:val="nil"/>
              <w:bottom w:val="single" w:sz="4" w:space="0" w:color="auto"/>
              <w:right w:val="nil"/>
            </w:tcBorders>
            <w:shd w:val="clear" w:color="000000" w:fill="FFFFFF"/>
            <w:noWrap/>
            <w:vAlign w:val="center"/>
            <w:hideMark/>
          </w:tcPr>
          <w:p w14:paraId="400BA694" w14:textId="51EC4101"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6,91</w:t>
            </w:r>
            <w:r w:rsidR="00FA6A73">
              <w:rPr>
                <w:rFonts w:eastAsia="Times New Roman" w:cstheme="minorHAnsi"/>
                <w:b/>
                <w:bCs/>
                <w:color w:val="000000"/>
                <w:sz w:val="18"/>
                <w:szCs w:val="18"/>
                <w:lang w:eastAsia="en-GB"/>
              </w:rPr>
              <w:t>6</w:t>
            </w:r>
          </w:p>
        </w:tc>
        <w:tc>
          <w:tcPr>
            <w:tcW w:w="1197" w:type="dxa"/>
            <w:tcBorders>
              <w:top w:val="single" w:sz="4" w:space="0" w:color="auto"/>
              <w:left w:val="nil"/>
              <w:bottom w:val="single" w:sz="4" w:space="0" w:color="auto"/>
              <w:right w:val="nil"/>
            </w:tcBorders>
            <w:shd w:val="clear" w:color="000000" w:fill="FFFFFF"/>
            <w:noWrap/>
            <w:vAlign w:val="center"/>
            <w:hideMark/>
          </w:tcPr>
          <w:p w14:paraId="1A024EDD" w14:textId="77777777" w:rsidR="001C6236" w:rsidRPr="00446EEB" w:rsidRDefault="001C6236" w:rsidP="003A455D">
            <w:pPr>
              <w:spacing w:after="0" w:line="240" w:lineRule="auto"/>
              <w:jc w:val="center"/>
              <w:rPr>
                <w:rFonts w:eastAsia="Times New Roman" w:cstheme="minorHAnsi"/>
                <w:b/>
                <w:bCs/>
                <w:color w:val="000000"/>
                <w:sz w:val="18"/>
                <w:szCs w:val="18"/>
                <w:lang w:eastAsia="en-GB"/>
              </w:rPr>
            </w:pPr>
            <w:r w:rsidRPr="00446EEB">
              <w:rPr>
                <w:rFonts w:eastAsia="Times New Roman" w:cstheme="minorHAnsi"/>
                <w:b/>
                <w:bCs/>
                <w:color w:val="000000"/>
                <w:sz w:val="18"/>
                <w:szCs w:val="18"/>
                <w:lang w:eastAsia="en-GB"/>
              </w:rPr>
              <w:t>18,442</w:t>
            </w:r>
          </w:p>
        </w:tc>
      </w:tr>
    </w:tbl>
    <w:p w14:paraId="1BC0F86A" w14:textId="77777777" w:rsidR="001C6236" w:rsidRPr="00CF225F" w:rsidRDefault="001C6236" w:rsidP="001C6236">
      <w:pPr>
        <w:jc w:val="both"/>
      </w:pPr>
    </w:p>
    <w:p w14:paraId="5506CD61" w14:textId="77777777" w:rsidR="001C6236" w:rsidRPr="007F0AE3" w:rsidRDefault="001C6236" w:rsidP="001C6236">
      <w:pPr>
        <w:jc w:val="both"/>
        <w:rPr>
          <w:b/>
          <w:bCs/>
          <w:sz w:val="20"/>
          <w:szCs w:val="20"/>
        </w:rPr>
      </w:pPr>
      <w:r w:rsidRPr="007F0AE3">
        <w:rPr>
          <w:b/>
          <w:bCs/>
          <w:sz w:val="20"/>
          <w:szCs w:val="20"/>
        </w:rPr>
        <w:t xml:space="preserve">Underlying operating loss </w:t>
      </w:r>
    </w:p>
    <w:p w14:paraId="0101D809" w14:textId="77777777" w:rsidR="001C6236" w:rsidRDefault="001C6236" w:rsidP="001C6236">
      <w:pPr>
        <w:jc w:val="both"/>
        <w:rPr>
          <w:sz w:val="20"/>
          <w:szCs w:val="20"/>
        </w:rPr>
      </w:pPr>
      <w:r w:rsidRPr="007F0AE3">
        <w:rPr>
          <w:sz w:val="20"/>
          <w:szCs w:val="20"/>
        </w:rPr>
        <w:t>The underlying operating loss of £0.3</w:t>
      </w:r>
      <w:r>
        <w:rPr>
          <w:sz w:val="20"/>
          <w:szCs w:val="20"/>
        </w:rPr>
        <w:t>m</w:t>
      </w:r>
      <w:r w:rsidRPr="00446EEB">
        <w:rPr>
          <w:sz w:val="20"/>
          <w:szCs w:val="20"/>
          <w:vertAlign w:val="superscript"/>
        </w:rPr>
        <w:t>*</w:t>
      </w:r>
      <w:r w:rsidRPr="007F0AE3">
        <w:rPr>
          <w:sz w:val="20"/>
          <w:szCs w:val="20"/>
        </w:rPr>
        <w:t xml:space="preserve"> (2018</w:t>
      </w:r>
      <w:r>
        <w:rPr>
          <w:sz w:val="20"/>
          <w:szCs w:val="20"/>
        </w:rPr>
        <w:t xml:space="preserve">: loss of </w:t>
      </w:r>
      <w:r w:rsidRPr="007F0AE3">
        <w:rPr>
          <w:sz w:val="20"/>
          <w:szCs w:val="20"/>
        </w:rPr>
        <w:t>£2.</w:t>
      </w:r>
      <w:r>
        <w:rPr>
          <w:sz w:val="20"/>
          <w:szCs w:val="20"/>
        </w:rPr>
        <w:t>7m</w:t>
      </w:r>
      <w:r w:rsidRPr="007F0AE3">
        <w:rPr>
          <w:sz w:val="20"/>
          <w:szCs w:val="20"/>
        </w:rPr>
        <w:t xml:space="preserve">) reflects the ongoing investment in science and innovation, building brand equity, developing our e-commerce capability and international expansion. The operating loss is in line with </w:t>
      </w:r>
      <w:r>
        <w:rPr>
          <w:sz w:val="20"/>
          <w:szCs w:val="20"/>
        </w:rPr>
        <w:t>market</w:t>
      </w:r>
      <w:r w:rsidRPr="007F0AE3">
        <w:rPr>
          <w:sz w:val="20"/>
          <w:szCs w:val="20"/>
        </w:rPr>
        <w:t xml:space="preserve"> expectations. </w:t>
      </w:r>
      <w:r w:rsidRPr="00462764">
        <w:rPr>
          <w:sz w:val="20"/>
          <w:szCs w:val="20"/>
        </w:rPr>
        <w:t>Loss from operations was £5.</w:t>
      </w:r>
      <w:r>
        <w:rPr>
          <w:sz w:val="20"/>
          <w:szCs w:val="20"/>
        </w:rPr>
        <w:t xml:space="preserve">0m (2018: loss of </w:t>
      </w:r>
      <w:r w:rsidRPr="00462764">
        <w:rPr>
          <w:sz w:val="20"/>
          <w:szCs w:val="20"/>
        </w:rPr>
        <w:t>£6</w:t>
      </w:r>
      <w:r>
        <w:rPr>
          <w:sz w:val="20"/>
          <w:szCs w:val="20"/>
        </w:rPr>
        <w:t>.0</w:t>
      </w:r>
      <w:r w:rsidRPr="00462764">
        <w:rPr>
          <w:sz w:val="20"/>
          <w:szCs w:val="20"/>
        </w:rPr>
        <w:t>m)</w:t>
      </w:r>
    </w:p>
    <w:p w14:paraId="3EC983EC" w14:textId="77777777" w:rsidR="001C6236" w:rsidRPr="007F0AE3" w:rsidRDefault="001C6236" w:rsidP="001C6236">
      <w:pPr>
        <w:jc w:val="both"/>
        <w:rPr>
          <w:sz w:val="20"/>
          <w:szCs w:val="20"/>
        </w:rPr>
      </w:pPr>
      <w:r w:rsidRPr="007F0AE3">
        <w:rPr>
          <w:sz w:val="20"/>
          <w:szCs w:val="20"/>
        </w:rPr>
        <w:t>The Group's cost base and its resources have been, and will continue to be, tightly managed within budgets approved and monitored by the Board. If a growth opportunity is identified</w:t>
      </w:r>
      <w:r>
        <w:rPr>
          <w:sz w:val="20"/>
          <w:szCs w:val="20"/>
        </w:rPr>
        <w:t>,</w:t>
      </w:r>
      <w:r w:rsidRPr="007F0AE3">
        <w:rPr>
          <w:sz w:val="20"/>
          <w:szCs w:val="20"/>
        </w:rPr>
        <w:t xml:space="preserve"> then ex-plan investment will be approved. </w:t>
      </w:r>
    </w:p>
    <w:p w14:paraId="53D6C67B" w14:textId="77777777" w:rsidR="001C6236" w:rsidRPr="00462764" w:rsidRDefault="001C6236" w:rsidP="001C6236">
      <w:pPr>
        <w:jc w:val="both"/>
        <w:rPr>
          <w:sz w:val="20"/>
          <w:szCs w:val="20"/>
        </w:rPr>
      </w:pPr>
      <w:r w:rsidRPr="00462764">
        <w:rPr>
          <w:sz w:val="20"/>
          <w:szCs w:val="20"/>
        </w:rPr>
        <w:t>The Group has chosen to report underlying operating loss as the Board believe</w:t>
      </w:r>
      <w:r>
        <w:rPr>
          <w:sz w:val="20"/>
          <w:szCs w:val="20"/>
        </w:rPr>
        <w:t>s</w:t>
      </w:r>
      <w:r w:rsidRPr="00462764">
        <w:rPr>
          <w:sz w:val="20"/>
          <w:szCs w:val="20"/>
        </w:rPr>
        <w:t xml:space="preserve"> that the operating loss before items such as depreciation, amortisation, non-cash share based payments and PhD acquisition related expenses provides additional useful information for Shareholders to assess cash profit performance. This measure is used for internal performance analysis. A reconciliation of underlying operating loss to loss from operations is presented in Note 1.</w:t>
      </w:r>
    </w:p>
    <w:p w14:paraId="71894881" w14:textId="77777777" w:rsidR="001C6236" w:rsidRPr="00D920A3" w:rsidRDefault="001C6236" w:rsidP="001C6236">
      <w:pPr>
        <w:jc w:val="both"/>
        <w:rPr>
          <w:b/>
          <w:sz w:val="20"/>
          <w:szCs w:val="20"/>
        </w:rPr>
      </w:pPr>
      <w:r w:rsidRPr="00D920A3">
        <w:rPr>
          <w:b/>
          <w:sz w:val="20"/>
          <w:szCs w:val="20"/>
        </w:rPr>
        <w:t xml:space="preserve">Working </w:t>
      </w:r>
      <w:r>
        <w:rPr>
          <w:b/>
          <w:sz w:val="20"/>
          <w:szCs w:val="20"/>
        </w:rPr>
        <w:t>c</w:t>
      </w:r>
      <w:r w:rsidRPr="00D920A3">
        <w:rPr>
          <w:b/>
          <w:sz w:val="20"/>
          <w:szCs w:val="20"/>
        </w:rPr>
        <w:t>apital</w:t>
      </w:r>
    </w:p>
    <w:p w14:paraId="3AAF6550" w14:textId="77777777" w:rsidR="001C6236" w:rsidRDefault="001C6236" w:rsidP="001C6236">
      <w:pPr>
        <w:jc w:val="both"/>
        <w:rPr>
          <w:sz w:val="20"/>
          <w:szCs w:val="20"/>
        </w:rPr>
      </w:pPr>
      <w:r>
        <w:rPr>
          <w:sz w:val="20"/>
          <w:szCs w:val="20"/>
        </w:rPr>
        <w:t>As at 31 December 2019</w:t>
      </w:r>
      <w:r w:rsidRPr="007F0AE3">
        <w:rPr>
          <w:sz w:val="20"/>
          <w:szCs w:val="20"/>
        </w:rPr>
        <w:t xml:space="preserve"> the </w:t>
      </w:r>
      <w:r>
        <w:rPr>
          <w:sz w:val="20"/>
          <w:szCs w:val="20"/>
        </w:rPr>
        <w:t>Group</w:t>
      </w:r>
      <w:r w:rsidRPr="007F0AE3">
        <w:rPr>
          <w:sz w:val="20"/>
          <w:szCs w:val="20"/>
        </w:rPr>
        <w:t xml:space="preserve"> held inventory of £6.1</w:t>
      </w:r>
      <w:r>
        <w:rPr>
          <w:sz w:val="20"/>
          <w:szCs w:val="20"/>
        </w:rPr>
        <w:t>m</w:t>
      </w:r>
      <w:r w:rsidRPr="007F0AE3">
        <w:rPr>
          <w:sz w:val="20"/>
          <w:szCs w:val="20"/>
        </w:rPr>
        <w:t xml:space="preserve"> (31 December 2018</w:t>
      </w:r>
      <w:r>
        <w:rPr>
          <w:sz w:val="20"/>
          <w:szCs w:val="20"/>
        </w:rPr>
        <w:t xml:space="preserve">: </w:t>
      </w:r>
      <w:r w:rsidRPr="007F0AE3">
        <w:rPr>
          <w:sz w:val="20"/>
          <w:szCs w:val="20"/>
        </w:rPr>
        <w:t>£7.1</w:t>
      </w:r>
      <w:r>
        <w:rPr>
          <w:sz w:val="20"/>
          <w:szCs w:val="20"/>
        </w:rPr>
        <w:t>m</w:t>
      </w:r>
      <w:r w:rsidRPr="007F0AE3">
        <w:rPr>
          <w:sz w:val="20"/>
          <w:szCs w:val="20"/>
        </w:rPr>
        <w:t>). Inventory levels decreased, despite 2</w:t>
      </w:r>
      <w:r>
        <w:rPr>
          <w:sz w:val="20"/>
          <w:szCs w:val="20"/>
        </w:rPr>
        <w:t>3</w:t>
      </w:r>
      <w:r w:rsidRPr="007F0AE3">
        <w:rPr>
          <w:sz w:val="20"/>
          <w:szCs w:val="20"/>
        </w:rPr>
        <w:t>%</w:t>
      </w:r>
      <w:r>
        <w:rPr>
          <w:sz w:val="20"/>
          <w:szCs w:val="20"/>
        </w:rPr>
        <w:t xml:space="preserve"> pro forma</w:t>
      </w:r>
      <w:r w:rsidRPr="007F0AE3">
        <w:rPr>
          <w:sz w:val="20"/>
          <w:szCs w:val="20"/>
        </w:rPr>
        <w:t xml:space="preserve"> </w:t>
      </w:r>
      <w:r>
        <w:rPr>
          <w:sz w:val="20"/>
          <w:szCs w:val="20"/>
        </w:rPr>
        <w:t>revenue</w:t>
      </w:r>
      <w:r w:rsidRPr="007F0AE3">
        <w:rPr>
          <w:sz w:val="20"/>
          <w:szCs w:val="20"/>
        </w:rPr>
        <w:t xml:space="preserve"> growth</w:t>
      </w:r>
      <w:r>
        <w:rPr>
          <w:sz w:val="20"/>
          <w:szCs w:val="20"/>
        </w:rPr>
        <w:t>,</w:t>
      </w:r>
      <w:r w:rsidRPr="007F0AE3">
        <w:rPr>
          <w:sz w:val="20"/>
          <w:szCs w:val="20"/>
        </w:rPr>
        <w:t xml:space="preserve"> due t</w:t>
      </w:r>
      <w:r>
        <w:rPr>
          <w:sz w:val="20"/>
          <w:szCs w:val="20"/>
        </w:rPr>
        <w:t>o improved working capital management</w:t>
      </w:r>
      <w:r w:rsidRPr="007F0AE3">
        <w:rPr>
          <w:sz w:val="20"/>
          <w:szCs w:val="20"/>
        </w:rPr>
        <w:t>. Trade and other receivables were £10.9</w:t>
      </w:r>
      <w:r>
        <w:rPr>
          <w:sz w:val="20"/>
          <w:szCs w:val="20"/>
        </w:rPr>
        <w:t xml:space="preserve">m </w:t>
      </w:r>
      <w:r w:rsidRPr="007F0AE3">
        <w:rPr>
          <w:sz w:val="20"/>
          <w:szCs w:val="20"/>
        </w:rPr>
        <w:t>(31 December 2018</w:t>
      </w:r>
      <w:r>
        <w:rPr>
          <w:sz w:val="20"/>
          <w:szCs w:val="20"/>
        </w:rPr>
        <w:t>:</w:t>
      </w:r>
      <w:r w:rsidRPr="007F0AE3">
        <w:rPr>
          <w:sz w:val="20"/>
          <w:szCs w:val="20"/>
        </w:rPr>
        <w:t xml:space="preserve"> £8.9</w:t>
      </w:r>
      <w:r>
        <w:rPr>
          <w:sz w:val="20"/>
          <w:szCs w:val="20"/>
        </w:rPr>
        <w:t>m</w:t>
      </w:r>
      <w:r w:rsidRPr="007F0AE3">
        <w:rPr>
          <w:sz w:val="20"/>
          <w:szCs w:val="20"/>
        </w:rPr>
        <w:t xml:space="preserve">). </w:t>
      </w:r>
    </w:p>
    <w:p w14:paraId="75CE8FFE" w14:textId="77777777" w:rsidR="001C6236" w:rsidRPr="00D920A3" w:rsidRDefault="001C6236" w:rsidP="001C6236">
      <w:pPr>
        <w:jc w:val="both"/>
        <w:rPr>
          <w:b/>
          <w:sz w:val="20"/>
          <w:szCs w:val="20"/>
        </w:rPr>
      </w:pPr>
      <w:r w:rsidRPr="00D920A3">
        <w:rPr>
          <w:b/>
          <w:sz w:val="20"/>
          <w:szCs w:val="20"/>
        </w:rPr>
        <w:t xml:space="preserve">Cash </w:t>
      </w:r>
      <w:r>
        <w:rPr>
          <w:b/>
          <w:sz w:val="20"/>
          <w:szCs w:val="20"/>
        </w:rPr>
        <w:t>p</w:t>
      </w:r>
      <w:r w:rsidRPr="00D920A3">
        <w:rPr>
          <w:b/>
          <w:sz w:val="20"/>
          <w:szCs w:val="20"/>
        </w:rPr>
        <w:t>osition</w:t>
      </w:r>
    </w:p>
    <w:p w14:paraId="1076ECA0" w14:textId="77777777" w:rsidR="001C6236" w:rsidRPr="007F0AE3" w:rsidRDefault="001C6236" w:rsidP="001C6236">
      <w:pPr>
        <w:jc w:val="both"/>
        <w:rPr>
          <w:sz w:val="20"/>
          <w:szCs w:val="20"/>
        </w:rPr>
      </w:pPr>
      <w:r w:rsidRPr="007F0AE3">
        <w:rPr>
          <w:sz w:val="20"/>
          <w:szCs w:val="20"/>
        </w:rPr>
        <w:t>The cash balance as at 31 December 2019 was £5.4</w:t>
      </w:r>
      <w:r>
        <w:rPr>
          <w:sz w:val="20"/>
          <w:szCs w:val="20"/>
        </w:rPr>
        <w:t>m</w:t>
      </w:r>
      <w:r w:rsidRPr="007F0AE3">
        <w:rPr>
          <w:sz w:val="20"/>
          <w:szCs w:val="20"/>
        </w:rPr>
        <w:t xml:space="preserve"> (31 December 2018</w:t>
      </w:r>
      <w:r>
        <w:rPr>
          <w:sz w:val="20"/>
          <w:szCs w:val="20"/>
        </w:rPr>
        <w:t>:</w:t>
      </w:r>
      <w:r w:rsidRPr="007F0AE3">
        <w:rPr>
          <w:sz w:val="20"/>
          <w:szCs w:val="20"/>
        </w:rPr>
        <w:t xml:space="preserve"> £8.0</w:t>
      </w:r>
      <w:r>
        <w:rPr>
          <w:sz w:val="20"/>
          <w:szCs w:val="20"/>
        </w:rPr>
        <w:t>m</w:t>
      </w:r>
      <w:r w:rsidRPr="007F0AE3">
        <w:rPr>
          <w:sz w:val="20"/>
          <w:szCs w:val="20"/>
        </w:rPr>
        <w:t>). During the year cash use primarily relates to investment in brand, new product development, working capital requirements, and the new in-house powder production line.</w:t>
      </w:r>
    </w:p>
    <w:p w14:paraId="3D607896" w14:textId="77777777" w:rsidR="001C6236" w:rsidRPr="00D920A3" w:rsidRDefault="001C6236" w:rsidP="001C6236">
      <w:pPr>
        <w:jc w:val="both"/>
        <w:rPr>
          <w:b/>
          <w:bCs/>
          <w:sz w:val="20"/>
          <w:szCs w:val="20"/>
        </w:rPr>
      </w:pPr>
      <w:r w:rsidRPr="00D920A3">
        <w:rPr>
          <w:b/>
          <w:bCs/>
          <w:sz w:val="20"/>
          <w:szCs w:val="20"/>
        </w:rPr>
        <w:t xml:space="preserve">Share based payments </w:t>
      </w:r>
    </w:p>
    <w:p w14:paraId="38FEF0C1" w14:textId="77777777" w:rsidR="001C6236" w:rsidRPr="007F0AE3" w:rsidRDefault="001C6236" w:rsidP="001C6236">
      <w:pPr>
        <w:jc w:val="both"/>
        <w:rPr>
          <w:sz w:val="20"/>
          <w:szCs w:val="20"/>
        </w:rPr>
      </w:pPr>
      <w:r w:rsidRPr="007F0AE3">
        <w:rPr>
          <w:sz w:val="20"/>
          <w:szCs w:val="20"/>
        </w:rPr>
        <w:t xml:space="preserve">The Company operates both a Short Term Incentive Programme ("STIP") and a Long Term Incentive Programme ("LTIP"). Together, the Share Option Plan ("SOP") was approved by the Remuneration Committee in June 2014 in line with the proposal contained in the Company's AIM Admission document </w:t>
      </w:r>
      <w:r>
        <w:rPr>
          <w:sz w:val="20"/>
          <w:szCs w:val="20"/>
        </w:rPr>
        <w:t xml:space="preserve">published </w:t>
      </w:r>
      <w:r w:rsidRPr="007F0AE3">
        <w:rPr>
          <w:sz w:val="20"/>
          <w:szCs w:val="20"/>
        </w:rPr>
        <w:t>in August 2013. A new LTIP scheme</w:t>
      </w:r>
      <w:r>
        <w:rPr>
          <w:sz w:val="20"/>
          <w:szCs w:val="20"/>
        </w:rPr>
        <w:t xml:space="preserve"> for financial years 2019-2021</w:t>
      </w:r>
      <w:r w:rsidRPr="007F0AE3">
        <w:rPr>
          <w:sz w:val="20"/>
          <w:szCs w:val="20"/>
        </w:rPr>
        <w:t xml:space="preserve"> is </w:t>
      </w:r>
      <w:r>
        <w:rPr>
          <w:sz w:val="20"/>
          <w:szCs w:val="20"/>
        </w:rPr>
        <w:t>in place, though no options were granted in 2019 and consequently no charge has been recognised in the year</w:t>
      </w:r>
      <w:r w:rsidRPr="007F0AE3">
        <w:rPr>
          <w:sz w:val="20"/>
          <w:szCs w:val="20"/>
        </w:rPr>
        <w:t xml:space="preserve">. </w:t>
      </w:r>
      <w:r>
        <w:rPr>
          <w:sz w:val="20"/>
          <w:szCs w:val="20"/>
        </w:rPr>
        <w:t>T</w:t>
      </w:r>
      <w:r w:rsidRPr="007F0AE3">
        <w:rPr>
          <w:sz w:val="20"/>
          <w:szCs w:val="20"/>
        </w:rPr>
        <w:t>he Company has recognised a</w:t>
      </w:r>
      <w:r>
        <w:rPr>
          <w:sz w:val="20"/>
          <w:szCs w:val="20"/>
        </w:rPr>
        <w:t xml:space="preserve"> </w:t>
      </w:r>
      <w:r w:rsidRPr="007F0AE3">
        <w:rPr>
          <w:sz w:val="20"/>
          <w:szCs w:val="20"/>
        </w:rPr>
        <w:t xml:space="preserve">share based payment charge </w:t>
      </w:r>
      <w:r>
        <w:rPr>
          <w:sz w:val="20"/>
          <w:szCs w:val="20"/>
        </w:rPr>
        <w:t xml:space="preserve">for </w:t>
      </w:r>
      <w:r w:rsidRPr="007F0AE3">
        <w:rPr>
          <w:sz w:val="20"/>
          <w:szCs w:val="20"/>
        </w:rPr>
        <w:t>the STIP scheme</w:t>
      </w:r>
      <w:r>
        <w:rPr>
          <w:sz w:val="20"/>
          <w:szCs w:val="20"/>
        </w:rPr>
        <w:t xml:space="preserve"> of</w:t>
      </w:r>
      <w:r w:rsidRPr="007F0AE3">
        <w:rPr>
          <w:sz w:val="20"/>
          <w:szCs w:val="20"/>
        </w:rPr>
        <w:t xml:space="preserve"> </w:t>
      </w:r>
      <w:r>
        <w:rPr>
          <w:sz w:val="20"/>
          <w:szCs w:val="20"/>
        </w:rPr>
        <w:t>£0.6m</w:t>
      </w:r>
      <w:r w:rsidRPr="007F0AE3">
        <w:rPr>
          <w:sz w:val="20"/>
          <w:szCs w:val="20"/>
        </w:rPr>
        <w:t xml:space="preserve"> </w:t>
      </w:r>
      <w:r>
        <w:rPr>
          <w:sz w:val="20"/>
          <w:szCs w:val="20"/>
        </w:rPr>
        <w:t>for the year</w:t>
      </w:r>
      <w:r w:rsidRPr="007F0AE3">
        <w:rPr>
          <w:sz w:val="20"/>
          <w:szCs w:val="20"/>
        </w:rPr>
        <w:t xml:space="preserve"> (2018</w:t>
      </w:r>
      <w:r>
        <w:rPr>
          <w:sz w:val="20"/>
          <w:szCs w:val="20"/>
        </w:rPr>
        <w:t xml:space="preserve">: </w:t>
      </w:r>
      <w:r w:rsidRPr="007F0AE3">
        <w:rPr>
          <w:sz w:val="20"/>
          <w:szCs w:val="20"/>
        </w:rPr>
        <w:t>£1</w:t>
      </w:r>
      <w:r>
        <w:rPr>
          <w:sz w:val="20"/>
          <w:szCs w:val="20"/>
        </w:rPr>
        <w:t>.5m</w:t>
      </w:r>
      <w:r w:rsidRPr="007F0AE3">
        <w:rPr>
          <w:sz w:val="20"/>
          <w:szCs w:val="20"/>
        </w:rPr>
        <w:t xml:space="preserve">). </w:t>
      </w:r>
    </w:p>
    <w:p w14:paraId="2766E2EC" w14:textId="77777777" w:rsidR="001C6236" w:rsidRPr="00D920A3" w:rsidRDefault="001C6236" w:rsidP="001C6236">
      <w:pPr>
        <w:jc w:val="both"/>
        <w:rPr>
          <w:b/>
          <w:sz w:val="20"/>
          <w:szCs w:val="20"/>
        </w:rPr>
      </w:pPr>
      <w:r w:rsidRPr="00D920A3">
        <w:rPr>
          <w:b/>
          <w:sz w:val="20"/>
          <w:szCs w:val="20"/>
        </w:rPr>
        <w:t xml:space="preserve">Taxation </w:t>
      </w:r>
    </w:p>
    <w:p w14:paraId="311C442A" w14:textId="77777777" w:rsidR="001C6236" w:rsidRPr="007F0AE3" w:rsidRDefault="001C6236" w:rsidP="001C6236">
      <w:pPr>
        <w:jc w:val="both"/>
        <w:rPr>
          <w:sz w:val="20"/>
          <w:szCs w:val="20"/>
        </w:rPr>
      </w:pPr>
      <w:r w:rsidRPr="007F0AE3">
        <w:rPr>
          <w:sz w:val="20"/>
          <w:szCs w:val="20"/>
        </w:rPr>
        <w:t>The current tax charge is £Nil (2018</w:t>
      </w:r>
      <w:r>
        <w:rPr>
          <w:sz w:val="20"/>
          <w:szCs w:val="20"/>
        </w:rPr>
        <w:t>:</w:t>
      </w:r>
      <w:r w:rsidRPr="007F0AE3">
        <w:rPr>
          <w:sz w:val="20"/>
          <w:szCs w:val="20"/>
        </w:rPr>
        <w:t xml:space="preserve"> £Nil) due to the loss made in the year. The deferred tax c</w:t>
      </w:r>
      <w:r>
        <w:rPr>
          <w:sz w:val="20"/>
          <w:szCs w:val="20"/>
        </w:rPr>
        <w:t>harge</w:t>
      </w:r>
      <w:r w:rsidRPr="007F0AE3">
        <w:rPr>
          <w:sz w:val="20"/>
          <w:szCs w:val="20"/>
        </w:rPr>
        <w:t xml:space="preserve"> of £</w:t>
      </w:r>
      <w:r>
        <w:rPr>
          <w:sz w:val="20"/>
          <w:szCs w:val="20"/>
        </w:rPr>
        <w:t>0.5m</w:t>
      </w:r>
      <w:r w:rsidRPr="007F0AE3">
        <w:rPr>
          <w:sz w:val="20"/>
          <w:szCs w:val="20"/>
        </w:rPr>
        <w:t xml:space="preserve"> (2018</w:t>
      </w:r>
      <w:r>
        <w:rPr>
          <w:sz w:val="20"/>
          <w:szCs w:val="20"/>
        </w:rPr>
        <w:t>:</w:t>
      </w:r>
      <w:r w:rsidRPr="007F0AE3">
        <w:rPr>
          <w:sz w:val="20"/>
          <w:szCs w:val="20"/>
        </w:rPr>
        <w:t xml:space="preserve"> £0.1</w:t>
      </w:r>
      <w:r>
        <w:rPr>
          <w:sz w:val="20"/>
          <w:szCs w:val="20"/>
        </w:rPr>
        <w:t>m credit</w:t>
      </w:r>
      <w:r w:rsidRPr="007F0AE3">
        <w:rPr>
          <w:sz w:val="20"/>
          <w:szCs w:val="20"/>
        </w:rPr>
        <w:t xml:space="preserve">) is primarily due to </w:t>
      </w:r>
      <w:r>
        <w:rPr>
          <w:sz w:val="20"/>
          <w:szCs w:val="20"/>
        </w:rPr>
        <w:t>an unprovided deferred tax asset on losses carried forward</w:t>
      </w:r>
      <w:r w:rsidRPr="007F0AE3">
        <w:rPr>
          <w:sz w:val="20"/>
          <w:szCs w:val="20"/>
        </w:rPr>
        <w:t>. The Group has estimated tax losses of £1</w:t>
      </w:r>
      <w:r>
        <w:rPr>
          <w:sz w:val="20"/>
          <w:szCs w:val="20"/>
        </w:rPr>
        <w:t>4.1</w:t>
      </w:r>
      <w:r w:rsidRPr="007F0AE3">
        <w:rPr>
          <w:sz w:val="20"/>
          <w:szCs w:val="20"/>
        </w:rPr>
        <w:t>m</w:t>
      </w:r>
      <w:r>
        <w:rPr>
          <w:sz w:val="20"/>
          <w:szCs w:val="20"/>
        </w:rPr>
        <w:t>, which the Group will look to use</w:t>
      </w:r>
      <w:r w:rsidRPr="007F0AE3">
        <w:rPr>
          <w:sz w:val="20"/>
          <w:szCs w:val="20"/>
        </w:rPr>
        <w:t xml:space="preserve"> </w:t>
      </w:r>
      <w:r>
        <w:rPr>
          <w:sz w:val="20"/>
          <w:szCs w:val="20"/>
        </w:rPr>
        <w:t>to cover future profits.</w:t>
      </w:r>
    </w:p>
    <w:p w14:paraId="246FBD3A" w14:textId="77777777" w:rsidR="001C6236" w:rsidRPr="00D920A3" w:rsidRDefault="001C6236" w:rsidP="001C6236">
      <w:pPr>
        <w:jc w:val="both"/>
        <w:rPr>
          <w:b/>
          <w:sz w:val="20"/>
          <w:szCs w:val="20"/>
        </w:rPr>
      </w:pPr>
      <w:r w:rsidRPr="00D920A3">
        <w:rPr>
          <w:b/>
          <w:sz w:val="20"/>
          <w:szCs w:val="20"/>
        </w:rPr>
        <w:t>Losses and dividends</w:t>
      </w:r>
    </w:p>
    <w:p w14:paraId="6DBB15DC" w14:textId="77777777" w:rsidR="001C6236" w:rsidRPr="007F0AE3" w:rsidRDefault="001C6236" w:rsidP="001C6236">
      <w:pPr>
        <w:jc w:val="both"/>
        <w:rPr>
          <w:sz w:val="20"/>
          <w:szCs w:val="20"/>
        </w:rPr>
      </w:pPr>
      <w:r w:rsidRPr="007F0AE3">
        <w:rPr>
          <w:sz w:val="20"/>
          <w:szCs w:val="20"/>
        </w:rPr>
        <w:t xml:space="preserve">The loss attributable to equity holders of the parent for </w:t>
      </w:r>
      <w:r>
        <w:rPr>
          <w:sz w:val="20"/>
          <w:szCs w:val="20"/>
        </w:rPr>
        <w:t>the year</w:t>
      </w:r>
      <w:r w:rsidRPr="007F0AE3">
        <w:rPr>
          <w:sz w:val="20"/>
          <w:szCs w:val="20"/>
        </w:rPr>
        <w:t xml:space="preserve"> was £</w:t>
      </w:r>
      <w:r>
        <w:rPr>
          <w:sz w:val="20"/>
          <w:szCs w:val="20"/>
        </w:rPr>
        <w:t>5.6m</w:t>
      </w:r>
      <w:r w:rsidRPr="007F0AE3">
        <w:rPr>
          <w:sz w:val="20"/>
          <w:szCs w:val="20"/>
        </w:rPr>
        <w:t xml:space="preserve"> (2018</w:t>
      </w:r>
      <w:r>
        <w:rPr>
          <w:sz w:val="20"/>
          <w:szCs w:val="20"/>
        </w:rPr>
        <w:t xml:space="preserve">: </w:t>
      </w:r>
      <w:r w:rsidRPr="007F0AE3">
        <w:rPr>
          <w:sz w:val="20"/>
          <w:szCs w:val="20"/>
        </w:rPr>
        <w:t>£5.9</w:t>
      </w:r>
      <w:r>
        <w:rPr>
          <w:sz w:val="20"/>
          <w:szCs w:val="20"/>
        </w:rPr>
        <w:t>m</w:t>
      </w:r>
      <w:r w:rsidRPr="007F0AE3">
        <w:rPr>
          <w:sz w:val="20"/>
          <w:szCs w:val="20"/>
        </w:rPr>
        <w:t xml:space="preserve">) and the basic and diluted loss per share was </w:t>
      </w:r>
      <w:r>
        <w:rPr>
          <w:sz w:val="20"/>
          <w:szCs w:val="20"/>
        </w:rPr>
        <w:t>4.6</w:t>
      </w:r>
      <w:r w:rsidRPr="007F0AE3">
        <w:rPr>
          <w:sz w:val="20"/>
          <w:szCs w:val="20"/>
        </w:rPr>
        <w:t>p (2018</w:t>
      </w:r>
      <w:r>
        <w:rPr>
          <w:sz w:val="20"/>
          <w:szCs w:val="20"/>
        </w:rPr>
        <w:t>: loss of</w:t>
      </w:r>
      <w:r w:rsidRPr="007F0AE3">
        <w:rPr>
          <w:sz w:val="20"/>
          <w:szCs w:val="20"/>
        </w:rPr>
        <w:t xml:space="preserve"> 8.2p). The payment of a dividend cannot be recommended due to negative retained earnings. </w:t>
      </w:r>
    </w:p>
    <w:p w14:paraId="3D42972D" w14:textId="77777777" w:rsidR="001C6236" w:rsidRPr="00D920A3" w:rsidRDefault="001C6236" w:rsidP="001C6236">
      <w:pPr>
        <w:jc w:val="both"/>
        <w:rPr>
          <w:b/>
          <w:sz w:val="20"/>
          <w:szCs w:val="20"/>
        </w:rPr>
      </w:pPr>
      <w:r w:rsidRPr="00D920A3">
        <w:rPr>
          <w:b/>
          <w:sz w:val="20"/>
          <w:szCs w:val="20"/>
        </w:rPr>
        <w:t>Going concern</w:t>
      </w:r>
    </w:p>
    <w:p w14:paraId="3EAE75BC" w14:textId="77777777" w:rsidR="001C6236" w:rsidRPr="007F0AE3" w:rsidRDefault="001C6236" w:rsidP="001C6236">
      <w:pPr>
        <w:jc w:val="both"/>
        <w:rPr>
          <w:sz w:val="20"/>
          <w:szCs w:val="20"/>
        </w:rPr>
      </w:pPr>
      <w:r w:rsidRPr="007F0AE3">
        <w:rPr>
          <w:sz w:val="20"/>
          <w:szCs w:val="20"/>
        </w:rPr>
        <w:t>The Group made a loss after tax for the year attributable to owners of the parent of £</w:t>
      </w:r>
      <w:r>
        <w:rPr>
          <w:sz w:val="20"/>
          <w:szCs w:val="20"/>
        </w:rPr>
        <w:t xml:space="preserve">5.6m </w:t>
      </w:r>
      <w:r w:rsidRPr="007F0AE3">
        <w:rPr>
          <w:sz w:val="20"/>
          <w:szCs w:val="20"/>
        </w:rPr>
        <w:t>(2018</w:t>
      </w:r>
      <w:r>
        <w:rPr>
          <w:sz w:val="20"/>
          <w:szCs w:val="20"/>
        </w:rPr>
        <w:t xml:space="preserve">: loss of </w:t>
      </w:r>
      <w:r w:rsidRPr="007F0AE3">
        <w:rPr>
          <w:sz w:val="20"/>
          <w:szCs w:val="20"/>
        </w:rPr>
        <w:t>£5.9</w:t>
      </w:r>
      <w:r>
        <w:rPr>
          <w:sz w:val="20"/>
          <w:szCs w:val="20"/>
        </w:rPr>
        <w:t>m</w:t>
      </w:r>
      <w:r w:rsidRPr="007F0AE3">
        <w:rPr>
          <w:sz w:val="20"/>
          <w:szCs w:val="20"/>
        </w:rPr>
        <w:t>) and expects to make a further loss</w:t>
      </w:r>
      <w:r>
        <w:rPr>
          <w:sz w:val="20"/>
          <w:szCs w:val="20"/>
        </w:rPr>
        <w:t xml:space="preserve"> after tax</w:t>
      </w:r>
      <w:r w:rsidRPr="007F0AE3">
        <w:rPr>
          <w:sz w:val="20"/>
          <w:szCs w:val="20"/>
        </w:rPr>
        <w:t xml:space="preserve"> in the year ending 31 December 2020. </w:t>
      </w:r>
    </w:p>
    <w:p w14:paraId="45E785B6" w14:textId="77777777" w:rsidR="001C6236" w:rsidRPr="007F0AE3" w:rsidRDefault="001C6236" w:rsidP="001C6236">
      <w:pPr>
        <w:jc w:val="both"/>
        <w:rPr>
          <w:sz w:val="20"/>
          <w:szCs w:val="20"/>
        </w:rPr>
      </w:pPr>
      <w:r w:rsidRPr="007F0AE3">
        <w:rPr>
          <w:sz w:val="20"/>
          <w:szCs w:val="20"/>
        </w:rPr>
        <w:t>The net decrease in cash and cash equivalents in the year ended 31 December 2019 was £2.6</w:t>
      </w:r>
      <w:r>
        <w:rPr>
          <w:sz w:val="20"/>
          <w:szCs w:val="20"/>
        </w:rPr>
        <w:t xml:space="preserve">m </w:t>
      </w:r>
      <w:r w:rsidRPr="007F0AE3">
        <w:rPr>
          <w:sz w:val="20"/>
          <w:szCs w:val="20"/>
        </w:rPr>
        <w:t>(2018</w:t>
      </w:r>
      <w:r>
        <w:rPr>
          <w:sz w:val="20"/>
          <w:szCs w:val="20"/>
        </w:rPr>
        <w:t>:</w:t>
      </w:r>
      <w:r w:rsidRPr="007F0AE3">
        <w:rPr>
          <w:sz w:val="20"/>
          <w:szCs w:val="20"/>
        </w:rPr>
        <w:t xml:space="preserve"> £8.6</w:t>
      </w:r>
      <w:r>
        <w:rPr>
          <w:sz w:val="20"/>
          <w:szCs w:val="20"/>
        </w:rPr>
        <w:t xml:space="preserve">m </w:t>
      </w:r>
      <w:r w:rsidRPr="007F0AE3">
        <w:rPr>
          <w:sz w:val="20"/>
          <w:szCs w:val="20"/>
        </w:rPr>
        <w:t>increase). A</w:t>
      </w:r>
      <w:r>
        <w:rPr>
          <w:sz w:val="20"/>
          <w:szCs w:val="20"/>
        </w:rPr>
        <w:t>s a</w:t>
      </w:r>
      <w:r w:rsidRPr="007F0AE3">
        <w:rPr>
          <w:sz w:val="20"/>
          <w:szCs w:val="20"/>
        </w:rPr>
        <w:t>t 31 December 201</w:t>
      </w:r>
      <w:r>
        <w:rPr>
          <w:sz w:val="20"/>
          <w:szCs w:val="20"/>
        </w:rPr>
        <w:t>9</w:t>
      </w:r>
      <w:r w:rsidRPr="007F0AE3">
        <w:rPr>
          <w:sz w:val="20"/>
          <w:szCs w:val="20"/>
        </w:rPr>
        <w:t xml:space="preserve"> the Group had cash balances of £5.4</w:t>
      </w:r>
      <w:r>
        <w:rPr>
          <w:sz w:val="20"/>
          <w:szCs w:val="20"/>
        </w:rPr>
        <w:t xml:space="preserve">m </w:t>
      </w:r>
      <w:r w:rsidRPr="007F0AE3">
        <w:rPr>
          <w:sz w:val="20"/>
          <w:szCs w:val="20"/>
        </w:rPr>
        <w:t>(</w:t>
      </w:r>
      <w:r>
        <w:rPr>
          <w:sz w:val="20"/>
          <w:szCs w:val="20"/>
        </w:rPr>
        <w:t xml:space="preserve">31 December </w:t>
      </w:r>
      <w:r w:rsidRPr="007F0AE3">
        <w:rPr>
          <w:sz w:val="20"/>
          <w:szCs w:val="20"/>
        </w:rPr>
        <w:t>2018</w:t>
      </w:r>
      <w:r>
        <w:rPr>
          <w:sz w:val="20"/>
          <w:szCs w:val="20"/>
        </w:rPr>
        <w:t>:</w:t>
      </w:r>
      <w:r w:rsidRPr="007F0AE3">
        <w:rPr>
          <w:sz w:val="20"/>
          <w:szCs w:val="20"/>
        </w:rPr>
        <w:t xml:space="preserve"> £8.0</w:t>
      </w:r>
      <w:r>
        <w:rPr>
          <w:sz w:val="20"/>
          <w:szCs w:val="20"/>
        </w:rPr>
        <w:t>m</w:t>
      </w:r>
      <w:r w:rsidRPr="007F0AE3">
        <w:rPr>
          <w:sz w:val="20"/>
          <w:szCs w:val="20"/>
        </w:rPr>
        <w:t xml:space="preserve">). </w:t>
      </w:r>
    </w:p>
    <w:p w14:paraId="5E017DD8" w14:textId="77777777" w:rsidR="001C6236" w:rsidRDefault="001C6236" w:rsidP="001C6236">
      <w:pPr>
        <w:jc w:val="both"/>
        <w:rPr>
          <w:sz w:val="20"/>
          <w:szCs w:val="20"/>
        </w:rPr>
      </w:pPr>
      <w:r w:rsidRPr="007F0AE3">
        <w:rPr>
          <w:sz w:val="20"/>
          <w:szCs w:val="20"/>
        </w:rPr>
        <w:t>The Directors have prepared projected cash flow information for a period ending 31 December 2021.</w:t>
      </w:r>
    </w:p>
    <w:p w14:paraId="7A45A26E" w14:textId="77777777" w:rsidR="001C6236" w:rsidRPr="007A27C9" w:rsidRDefault="001C6236" w:rsidP="001C6236">
      <w:pPr>
        <w:jc w:val="both"/>
        <w:rPr>
          <w:sz w:val="20"/>
          <w:szCs w:val="20"/>
        </w:rPr>
      </w:pPr>
      <w:r w:rsidRPr="007A27C9">
        <w:rPr>
          <w:sz w:val="20"/>
          <w:szCs w:val="20"/>
        </w:rPr>
        <w:t>We have enacted contingency plans to protect cash reserves as the priority in response to the Covid-19 coronavirus outbreak.</w:t>
      </w:r>
    </w:p>
    <w:p w14:paraId="5C75436E" w14:textId="77777777" w:rsidR="001C6236" w:rsidRPr="007F0AE3" w:rsidRDefault="001C6236" w:rsidP="001C6236">
      <w:pPr>
        <w:jc w:val="both"/>
        <w:rPr>
          <w:sz w:val="20"/>
          <w:szCs w:val="20"/>
        </w:rPr>
      </w:pPr>
      <w:r w:rsidRPr="007F0AE3">
        <w:rPr>
          <w:sz w:val="20"/>
          <w:szCs w:val="20"/>
        </w:rPr>
        <w:t>Accordingly, the Directors have a reasonable expectation that the Company will have sufficient cash to meet all liabilities as they fall due for a period of at least 12 months from the date of approval of these financial statements. For these reasons, they continue to adopt the going concern basis of accounting in preparing the annual financial statements.</w:t>
      </w:r>
    </w:p>
    <w:p w14:paraId="19A8BB57" w14:textId="77777777" w:rsidR="001C6236" w:rsidRDefault="001C6236" w:rsidP="001C6236">
      <w:pPr>
        <w:rPr>
          <w:rFonts w:ascii="Arial" w:hAnsi="Arial" w:cs="Arial"/>
          <w:sz w:val="14"/>
          <w:szCs w:val="14"/>
        </w:rPr>
      </w:pPr>
    </w:p>
    <w:p w14:paraId="7927AD0D" w14:textId="77777777" w:rsidR="001C6236" w:rsidRDefault="001C6236" w:rsidP="001C6236">
      <w:pPr>
        <w:pStyle w:val="Header"/>
        <w:rPr>
          <w:rFonts w:ascii="Arial" w:hAnsi="Arial" w:cs="Arial"/>
          <w:sz w:val="20"/>
          <w:szCs w:val="20"/>
        </w:rPr>
      </w:pPr>
    </w:p>
    <w:p w14:paraId="0226D1A0" w14:textId="77777777" w:rsidR="001C6236" w:rsidRDefault="001C6236" w:rsidP="001C6236">
      <w:pPr>
        <w:pStyle w:val="Header"/>
        <w:rPr>
          <w:rFonts w:ascii="Arial" w:hAnsi="Arial" w:cs="Arial"/>
          <w:sz w:val="20"/>
          <w:szCs w:val="20"/>
        </w:rPr>
      </w:pPr>
    </w:p>
    <w:p w14:paraId="26448B04" w14:textId="77777777" w:rsidR="001C6236" w:rsidRDefault="001C6236" w:rsidP="001C6236">
      <w:pPr>
        <w:pStyle w:val="Header"/>
        <w:rPr>
          <w:rFonts w:ascii="Arial" w:hAnsi="Arial" w:cs="Arial"/>
          <w:sz w:val="20"/>
          <w:szCs w:val="20"/>
        </w:rPr>
      </w:pPr>
    </w:p>
    <w:p w14:paraId="2E95F285" w14:textId="77777777" w:rsidR="001C6236" w:rsidRDefault="001C6236" w:rsidP="001C6236">
      <w:pPr>
        <w:pStyle w:val="Header"/>
        <w:rPr>
          <w:rFonts w:ascii="Arial" w:hAnsi="Arial" w:cs="Arial"/>
          <w:sz w:val="20"/>
          <w:szCs w:val="20"/>
        </w:rPr>
      </w:pPr>
    </w:p>
    <w:p w14:paraId="4985AF88" w14:textId="77777777" w:rsidR="001C6236" w:rsidRDefault="001C6236" w:rsidP="001C6236">
      <w:pPr>
        <w:pStyle w:val="Header"/>
        <w:rPr>
          <w:rFonts w:ascii="Arial" w:hAnsi="Arial" w:cs="Arial"/>
          <w:sz w:val="20"/>
          <w:szCs w:val="20"/>
        </w:rPr>
      </w:pPr>
    </w:p>
    <w:p w14:paraId="28ABDEBB" w14:textId="77777777" w:rsidR="001C6236" w:rsidRDefault="001C6236" w:rsidP="001C6236">
      <w:pPr>
        <w:pStyle w:val="Header"/>
        <w:rPr>
          <w:rFonts w:ascii="Arial" w:hAnsi="Arial" w:cs="Arial"/>
          <w:sz w:val="20"/>
          <w:szCs w:val="20"/>
        </w:rPr>
      </w:pPr>
    </w:p>
    <w:p w14:paraId="648C7C1B" w14:textId="77777777" w:rsidR="001C6236" w:rsidRDefault="001C6236" w:rsidP="001C6236">
      <w:pPr>
        <w:pStyle w:val="Header"/>
        <w:rPr>
          <w:rFonts w:ascii="Arial" w:hAnsi="Arial" w:cs="Arial"/>
          <w:sz w:val="20"/>
          <w:szCs w:val="20"/>
        </w:rPr>
      </w:pPr>
    </w:p>
    <w:p w14:paraId="7C81FF48" w14:textId="77777777" w:rsidR="001C6236" w:rsidRDefault="001C6236" w:rsidP="001C6236">
      <w:pPr>
        <w:pStyle w:val="Header"/>
        <w:rPr>
          <w:rFonts w:ascii="Arial" w:hAnsi="Arial" w:cs="Arial"/>
          <w:sz w:val="20"/>
          <w:szCs w:val="20"/>
        </w:rPr>
      </w:pPr>
    </w:p>
    <w:p w14:paraId="222B6771" w14:textId="77777777" w:rsidR="001C6236" w:rsidRDefault="001C6236" w:rsidP="001C6236">
      <w:pPr>
        <w:pStyle w:val="Header"/>
        <w:rPr>
          <w:rFonts w:ascii="Arial" w:hAnsi="Arial" w:cs="Arial"/>
          <w:sz w:val="20"/>
          <w:szCs w:val="20"/>
        </w:rPr>
      </w:pPr>
    </w:p>
    <w:p w14:paraId="762C1E4F" w14:textId="77777777" w:rsidR="001C6236" w:rsidRDefault="001C6236" w:rsidP="001C6236">
      <w:pPr>
        <w:pStyle w:val="Header"/>
        <w:rPr>
          <w:rFonts w:ascii="Arial" w:hAnsi="Arial" w:cs="Arial"/>
          <w:sz w:val="20"/>
          <w:szCs w:val="20"/>
        </w:rPr>
      </w:pPr>
    </w:p>
    <w:p w14:paraId="1593A8C0" w14:textId="77777777" w:rsidR="001C6236" w:rsidRDefault="001C6236" w:rsidP="001C6236">
      <w:pPr>
        <w:pStyle w:val="Header"/>
        <w:rPr>
          <w:rFonts w:ascii="Arial" w:hAnsi="Arial" w:cs="Arial"/>
          <w:sz w:val="20"/>
          <w:szCs w:val="20"/>
        </w:rPr>
      </w:pPr>
    </w:p>
    <w:p w14:paraId="5CBD7E87" w14:textId="77777777" w:rsidR="001C6236" w:rsidRDefault="001C6236" w:rsidP="001C6236">
      <w:pPr>
        <w:pStyle w:val="Header"/>
        <w:rPr>
          <w:rFonts w:ascii="Arial" w:hAnsi="Arial" w:cs="Arial"/>
          <w:sz w:val="20"/>
          <w:szCs w:val="20"/>
        </w:rPr>
      </w:pPr>
    </w:p>
    <w:p w14:paraId="6CABE465" w14:textId="77777777" w:rsidR="001C6236" w:rsidRDefault="001C6236" w:rsidP="001C6236">
      <w:pPr>
        <w:pStyle w:val="Header"/>
        <w:rPr>
          <w:rFonts w:ascii="Arial" w:hAnsi="Arial" w:cs="Arial"/>
          <w:sz w:val="20"/>
          <w:szCs w:val="20"/>
        </w:rPr>
      </w:pPr>
    </w:p>
    <w:p w14:paraId="1965F15A" w14:textId="77777777" w:rsidR="001C6236" w:rsidRDefault="001C6236" w:rsidP="001C6236">
      <w:pPr>
        <w:pStyle w:val="Header"/>
        <w:rPr>
          <w:rFonts w:ascii="Arial" w:hAnsi="Arial" w:cs="Arial"/>
          <w:sz w:val="20"/>
          <w:szCs w:val="20"/>
        </w:rPr>
      </w:pPr>
    </w:p>
    <w:p w14:paraId="76E8CA81" w14:textId="77777777" w:rsidR="001C6236" w:rsidRDefault="001C6236" w:rsidP="001C6236">
      <w:pPr>
        <w:pStyle w:val="Header"/>
        <w:rPr>
          <w:rFonts w:ascii="Arial" w:hAnsi="Arial" w:cs="Arial"/>
          <w:sz w:val="20"/>
          <w:szCs w:val="20"/>
        </w:rPr>
      </w:pPr>
    </w:p>
    <w:p w14:paraId="5BADBBA3" w14:textId="77777777" w:rsidR="001C6236" w:rsidRDefault="001C6236" w:rsidP="001C6236">
      <w:pPr>
        <w:pStyle w:val="Header"/>
        <w:rPr>
          <w:rFonts w:ascii="Arial" w:hAnsi="Arial" w:cs="Arial"/>
          <w:sz w:val="20"/>
          <w:szCs w:val="20"/>
        </w:rPr>
      </w:pPr>
    </w:p>
    <w:p w14:paraId="330430F6" w14:textId="77777777" w:rsidR="001C6236" w:rsidRDefault="001C6236" w:rsidP="001C6236">
      <w:pPr>
        <w:pStyle w:val="Header"/>
        <w:rPr>
          <w:rFonts w:ascii="Arial" w:hAnsi="Arial" w:cs="Arial"/>
          <w:sz w:val="20"/>
          <w:szCs w:val="20"/>
        </w:rPr>
      </w:pPr>
    </w:p>
    <w:p w14:paraId="42D7118D" w14:textId="77777777" w:rsidR="001C6236" w:rsidRDefault="001C6236" w:rsidP="001C6236">
      <w:pPr>
        <w:pStyle w:val="Header"/>
        <w:rPr>
          <w:rFonts w:ascii="Arial" w:hAnsi="Arial" w:cs="Arial"/>
          <w:sz w:val="20"/>
          <w:szCs w:val="20"/>
        </w:rPr>
      </w:pPr>
    </w:p>
    <w:p w14:paraId="4FC9334D" w14:textId="77777777" w:rsidR="001C6236" w:rsidRDefault="001C6236" w:rsidP="001C6236">
      <w:pPr>
        <w:pStyle w:val="Header"/>
        <w:rPr>
          <w:rFonts w:ascii="Arial" w:hAnsi="Arial" w:cs="Arial"/>
          <w:sz w:val="20"/>
          <w:szCs w:val="20"/>
        </w:rPr>
      </w:pPr>
    </w:p>
    <w:p w14:paraId="74C1EC15" w14:textId="77777777" w:rsidR="001C6236" w:rsidRDefault="001C6236" w:rsidP="001C6236">
      <w:pPr>
        <w:pStyle w:val="Header"/>
        <w:rPr>
          <w:rFonts w:ascii="Arial" w:hAnsi="Arial" w:cs="Arial"/>
          <w:sz w:val="20"/>
          <w:szCs w:val="20"/>
        </w:rPr>
      </w:pPr>
    </w:p>
    <w:p w14:paraId="4E8ADD09" w14:textId="77777777" w:rsidR="001C6236" w:rsidRDefault="001C6236" w:rsidP="001C6236">
      <w:pPr>
        <w:pStyle w:val="Header"/>
        <w:rPr>
          <w:rFonts w:ascii="Arial" w:hAnsi="Arial" w:cs="Arial"/>
          <w:sz w:val="20"/>
          <w:szCs w:val="20"/>
        </w:rPr>
      </w:pPr>
    </w:p>
    <w:p w14:paraId="404E8267" w14:textId="77777777" w:rsidR="001C6236" w:rsidRDefault="001C6236" w:rsidP="001C6236">
      <w:pPr>
        <w:pStyle w:val="Header"/>
        <w:rPr>
          <w:rFonts w:ascii="Arial" w:hAnsi="Arial" w:cs="Arial"/>
          <w:sz w:val="20"/>
          <w:szCs w:val="20"/>
        </w:rPr>
      </w:pPr>
    </w:p>
    <w:p w14:paraId="1EED84FC" w14:textId="77777777" w:rsidR="001C6236" w:rsidRDefault="001C6236" w:rsidP="001C6236">
      <w:pPr>
        <w:pStyle w:val="Header"/>
        <w:rPr>
          <w:rFonts w:ascii="Arial" w:hAnsi="Arial" w:cs="Arial"/>
          <w:sz w:val="20"/>
          <w:szCs w:val="20"/>
        </w:rPr>
      </w:pPr>
    </w:p>
    <w:p w14:paraId="191369AD" w14:textId="77777777" w:rsidR="001C6236" w:rsidRDefault="001C6236" w:rsidP="001C6236">
      <w:pPr>
        <w:pStyle w:val="Header"/>
        <w:rPr>
          <w:rFonts w:ascii="Arial" w:hAnsi="Arial" w:cs="Arial"/>
          <w:sz w:val="20"/>
          <w:szCs w:val="20"/>
        </w:rPr>
      </w:pPr>
    </w:p>
    <w:p w14:paraId="4D45BE05" w14:textId="0797C0FD" w:rsidR="00DA54F3" w:rsidRPr="001B02FE" w:rsidRDefault="00DA54F3" w:rsidP="00DA54F3">
      <w:pPr>
        <w:pStyle w:val="Header"/>
        <w:rPr>
          <w:rFonts w:cstheme="minorHAnsi"/>
          <w:b/>
          <w:sz w:val="24"/>
          <w:szCs w:val="20"/>
        </w:rPr>
      </w:pPr>
      <w:r w:rsidRPr="001B02FE">
        <w:rPr>
          <w:rFonts w:cstheme="minorHAnsi"/>
          <w:b/>
          <w:sz w:val="24"/>
          <w:szCs w:val="20"/>
        </w:rPr>
        <w:t>Consolidated statement of comprehensive income</w:t>
      </w:r>
    </w:p>
    <w:p w14:paraId="0797959E" w14:textId="77777777" w:rsidR="00DA54F3" w:rsidRPr="001B02FE" w:rsidRDefault="00DA54F3" w:rsidP="00DA54F3">
      <w:pPr>
        <w:pStyle w:val="bulls"/>
        <w:ind w:left="0" w:firstLine="0"/>
        <w:rPr>
          <w:rFonts w:asciiTheme="minorHAnsi" w:hAnsiTheme="minorHAnsi" w:cstheme="minorHAnsi"/>
        </w:rPr>
      </w:pPr>
    </w:p>
    <w:p w14:paraId="5D539308" w14:textId="77777777" w:rsidR="00DA54F3" w:rsidRPr="001B02FE" w:rsidRDefault="00DA54F3" w:rsidP="00DA54F3">
      <w:pPr>
        <w:pStyle w:val="bulls"/>
        <w:ind w:left="0" w:firstLine="0"/>
        <w:rPr>
          <w:rFonts w:asciiTheme="minorHAnsi" w:hAnsiTheme="minorHAnsi" w:cstheme="minorHAnsi"/>
        </w:rPr>
      </w:pPr>
    </w:p>
    <w:p w14:paraId="6A3C826E" w14:textId="77777777" w:rsidR="00DA54F3" w:rsidRPr="001B02FE" w:rsidRDefault="00DA54F3" w:rsidP="00DA54F3">
      <w:pPr>
        <w:pStyle w:val="bulls"/>
        <w:ind w:left="0" w:firstLine="0"/>
        <w:rPr>
          <w:rFonts w:asciiTheme="minorHAnsi" w:hAnsiTheme="minorHAnsi" w:cstheme="minorHAnsi"/>
        </w:rPr>
      </w:pPr>
    </w:p>
    <w:tbl>
      <w:tblPr>
        <w:tblW w:w="9749" w:type="dxa"/>
        <w:tblInd w:w="108" w:type="dxa"/>
        <w:tblLayout w:type="fixed"/>
        <w:tblLook w:val="0000" w:firstRow="0" w:lastRow="0" w:firstColumn="0" w:lastColumn="0" w:noHBand="0" w:noVBand="0"/>
      </w:tblPr>
      <w:tblGrid>
        <w:gridCol w:w="5529"/>
        <w:gridCol w:w="850"/>
        <w:gridCol w:w="1678"/>
        <w:gridCol w:w="1692"/>
      </w:tblGrid>
      <w:tr w:rsidR="00DA54F3" w:rsidRPr="001B02FE" w14:paraId="35709A7E" w14:textId="77777777" w:rsidTr="00A535DB">
        <w:trPr>
          <w:trHeight w:val="289"/>
        </w:trPr>
        <w:tc>
          <w:tcPr>
            <w:tcW w:w="5529" w:type="dxa"/>
            <w:tcBorders>
              <w:top w:val="nil"/>
              <w:left w:val="nil"/>
              <w:bottom w:val="nil"/>
              <w:right w:val="nil"/>
            </w:tcBorders>
            <w:shd w:val="clear" w:color="auto" w:fill="auto"/>
            <w:noWrap/>
            <w:vAlign w:val="center"/>
          </w:tcPr>
          <w:p w14:paraId="2E649EB6" w14:textId="77777777" w:rsidR="00DA54F3" w:rsidRPr="001B02FE" w:rsidRDefault="00DA54F3" w:rsidP="00A535DB">
            <w:pPr>
              <w:spacing w:after="0" w:line="240" w:lineRule="auto"/>
              <w:rPr>
                <w:rFonts w:eastAsia="Times New Roman" w:cstheme="minorHAnsi"/>
                <w:sz w:val="20"/>
                <w:szCs w:val="20"/>
                <w:highlight w:val="green"/>
                <w:lang w:eastAsia="en-GB"/>
              </w:rPr>
            </w:pPr>
          </w:p>
        </w:tc>
        <w:tc>
          <w:tcPr>
            <w:tcW w:w="850" w:type="dxa"/>
            <w:tcBorders>
              <w:top w:val="nil"/>
              <w:left w:val="nil"/>
              <w:bottom w:val="nil"/>
              <w:right w:val="nil"/>
            </w:tcBorders>
            <w:shd w:val="clear" w:color="auto" w:fill="auto"/>
            <w:noWrap/>
            <w:vAlign w:val="center"/>
          </w:tcPr>
          <w:p w14:paraId="65298368" w14:textId="77777777" w:rsidR="00DA54F3" w:rsidRPr="001B02FE" w:rsidRDefault="00DA54F3" w:rsidP="00A535DB">
            <w:pPr>
              <w:spacing w:after="0" w:line="240" w:lineRule="auto"/>
              <w:jc w:val="center"/>
              <w:rPr>
                <w:rFonts w:eastAsia="Times New Roman" w:cstheme="minorHAnsi"/>
                <w:sz w:val="20"/>
                <w:szCs w:val="20"/>
                <w:highlight w:val="green"/>
                <w:lang w:eastAsia="en-GB"/>
              </w:rPr>
            </w:pPr>
          </w:p>
        </w:tc>
        <w:tc>
          <w:tcPr>
            <w:tcW w:w="1678" w:type="dxa"/>
            <w:tcBorders>
              <w:top w:val="nil"/>
              <w:left w:val="nil"/>
              <w:bottom w:val="nil"/>
              <w:right w:val="nil"/>
            </w:tcBorders>
            <w:vAlign w:val="center"/>
          </w:tcPr>
          <w:p w14:paraId="04A31E14" w14:textId="77777777" w:rsidR="00DA54F3" w:rsidRPr="001B02FE" w:rsidRDefault="00DA54F3" w:rsidP="00A535DB">
            <w:pPr>
              <w:spacing w:after="0" w:line="240" w:lineRule="auto"/>
              <w:jc w:val="right"/>
              <w:rPr>
                <w:rFonts w:eastAsia="Times New Roman" w:cstheme="minorHAnsi"/>
                <w:b/>
                <w:bCs/>
                <w:sz w:val="20"/>
                <w:szCs w:val="20"/>
                <w:highlight w:val="green"/>
                <w:lang w:eastAsia="en-GB"/>
              </w:rPr>
            </w:pPr>
          </w:p>
        </w:tc>
        <w:tc>
          <w:tcPr>
            <w:tcW w:w="1692" w:type="dxa"/>
            <w:tcBorders>
              <w:top w:val="nil"/>
              <w:left w:val="nil"/>
              <w:bottom w:val="nil"/>
              <w:right w:val="nil"/>
            </w:tcBorders>
            <w:shd w:val="clear" w:color="auto" w:fill="auto"/>
            <w:noWrap/>
            <w:vAlign w:val="bottom"/>
          </w:tcPr>
          <w:p w14:paraId="00C58AF5" w14:textId="77777777" w:rsidR="00DA54F3" w:rsidRPr="001B02FE" w:rsidRDefault="00DA54F3" w:rsidP="00A535DB">
            <w:pPr>
              <w:spacing w:after="0" w:line="240" w:lineRule="auto"/>
              <w:jc w:val="right"/>
              <w:rPr>
                <w:rFonts w:eastAsia="Times New Roman" w:cstheme="minorHAnsi"/>
                <w:bCs/>
                <w:sz w:val="20"/>
                <w:szCs w:val="20"/>
                <w:highlight w:val="green"/>
                <w:lang w:eastAsia="en-GB"/>
              </w:rPr>
            </w:pPr>
          </w:p>
        </w:tc>
      </w:tr>
      <w:tr w:rsidR="00DA54F3" w:rsidRPr="001B02FE" w14:paraId="0FA12568" w14:textId="77777777" w:rsidTr="00A535DB">
        <w:trPr>
          <w:trHeight w:val="289"/>
        </w:trPr>
        <w:tc>
          <w:tcPr>
            <w:tcW w:w="5529" w:type="dxa"/>
            <w:tcBorders>
              <w:top w:val="nil"/>
              <w:left w:val="nil"/>
              <w:bottom w:val="nil"/>
              <w:right w:val="nil"/>
            </w:tcBorders>
            <w:shd w:val="clear" w:color="auto" w:fill="auto"/>
            <w:noWrap/>
            <w:vAlign w:val="center"/>
          </w:tcPr>
          <w:p w14:paraId="3BE3A42C" w14:textId="77777777" w:rsidR="00DA54F3" w:rsidRPr="001B02FE" w:rsidRDefault="00DA54F3" w:rsidP="00A535DB">
            <w:pPr>
              <w:spacing w:after="0" w:line="240" w:lineRule="auto"/>
              <w:rPr>
                <w:rFonts w:eastAsia="Times New Roman" w:cstheme="minorHAnsi"/>
                <w:sz w:val="20"/>
                <w:szCs w:val="20"/>
                <w:lang w:eastAsia="en-GB"/>
              </w:rPr>
            </w:pPr>
          </w:p>
        </w:tc>
        <w:tc>
          <w:tcPr>
            <w:tcW w:w="850" w:type="dxa"/>
            <w:tcBorders>
              <w:top w:val="nil"/>
              <w:left w:val="nil"/>
              <w:bottom w:val="nil"/>
              <w:right w:val="nil"/>
            </w:tcBorders>
            <w:shd w:val="clear" w:color="auto" w:fill="auto"/>
            <w:noWrap/>
            <w:vAlign w:val="center"/>
          </w:tcPr>
          <w:p w14:paraId="271E0D78"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bottom w:val="nil"/>
              <w:right w:val="nil"/>
            </w:tcBorders>
            <w:vAlign w:val="center"/>
          </w:tcPr>
          <w:p w14:paraId="46F77422"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 xml:space="preserve">Year </w:t>
            </w:r>
          </w:p>
        </w:tc>
        <w:tc>
          <w:tcPr>
            <w:tcW w:w="1692" w:type="dxa"/>
            <w:tcBorders>
              <w:top w:val="nil"/>
              <w:left w:val="nil"/>
              <w:bottom w:val="nil"/>
              <w:right w:val="nil"/>
            </w:tcBorders>
            <w:shd w:val="clear" w:color="auto" w:fill="auto"/>
            <w:noWrap/>
            <w:vAlign w:val="bottom"/>
          </w:tcPr>
          <w:p w14:paraId="1E2F1764" w14:textId="77777777" w:rsidR="00DA54F3" w:rsidRPr="001B02FE" w:rsidRDefault="00DA54F3" w:rsidP="00A535DB">
            <w:pPr>
              <w:spacing w:after="0" w:line="240" w:lineRule="auto"/>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Year </w:t>
            </w:r>
          </w:p>
        </w:tc>
      </w:tr>
      <w:tr w:rsidR="00DA54F3" w:rsidRPr="001B02FE" w14:paraId="25351101" w14:textId="77777777" w:rsidTr="00A535DB">
        <w:trPr>
          <w:trHeight w:val="289"/>
        </w:trPr>
        <w:tc>
          <w:tcPr>
            <w:tcW w:w="5529" w:type="dxa"/>
            <w:tcBorders>
              <w:top w:val="nil"/>
              <w:left w:val="nil"/>
              <w:bottom w:val="nil"/>
              <w:right w:val="nil"/>
            </w:tcBorders>
            <w:shd w:val="clear" w:color="auto" w:fill="auto"/>
            <w:noWrap/>
            <w:vAlign w:val="center"/>
          </w:tcPr>
          <w:p w14:paraId="3424C499" w14:textId="77777777" w:rsidR="00DA54F3" w:rsidRPr="001B02FE" w:rsidRDefault="00DA54F3" w:rsidP="00A535DB">
            <w:pPr>
              <w:spacing w:after="0" w:line="240" w:lineRule="auto"/>
              <w:rPr>
                <w:rFonts w:eastAsia="Times New Roman" w:cstheme="minorHAnsi"/>
                <w:sz w:val="20"/>
                <w:szCs w:val="20"/>
                <w:lang w:eastAsia="en-GB"/>
              </w:rPr>
            </w:pPr>
          </w:p>
        </w:tc>
        <w:tc>
          <w:tcPr>
            <w:tcW w:w="850" w:type="dxa"/>
            <w:tcBorders>
              <w:top w:val="nil"/>
              <w:left w:val="nil"/>
              <w:bottom w:val="nil"/>
              <w:right w:val="nil"/>
            </w:tcBorders>
            <w:shd w:val="clear" w:color="auto" w:fill="auto"/>
            <w:noWrap/>
            <w:vAlign w:val="center"/>
          </w:tcPr>
          <w:p w14:paraId="0196F5CE"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bottom w:val="nil"/>
              <w:right w:val="nil"/>
            </w:tcBorders>
            <w:vAlign w:val="center"/>
          </w:tcPr>
          <w:p w14:paraId="1760999C"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 xml:space="preserve">ended </w:t>
            </w:r>
          </w:p>
        </w:tc>
        <w:tc>
          <w:tcPr>
            <w:tcW w:w="1692" w:type="dxa"/>
            <w:tcBorders>
              <w:top w:val="nil"/>
              <w:left w:val="nil"/>
              <w:bottom w:val="nil"/>
              <w:right w:val="nil"/>
            </w:tcBorders>
            <w:shd w:val="clear" w:color="auto" w:fill="auto"/>
            <w:noWrap/>
            <w:vAlign w:val="center"/>
          </w:tcPr>
          <w:p w14:paraId="6FF1AADF" w14:textId="77777777" w:rsidR="00DA54F3" w:rsidRPr="001B02FE" w:rsidRDefault="00DA54F3" w:rsidP="00A535DB">
            <w:pPr>
              <w:spacing w:after="0" w:line="240" w:lineRule="auto"/>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ended </w:t>
            </w:r>
          </w:p>
        </w:tc>
      </w:tr>
      <w:tr w:rsidR="00DA54F3" w:rsidRPr="001B02FE" w14:paraId="1EBBF1A6" w14:textId="77777777" w:rsidTr="00A535DB">
        <w:trPr>
          <w:trHeight w:val="289"/>
        </w:trPr>
        <w:tc>
          <w:tcPr>
            <w:tcW w:w="5529" w:type="dxa"/>
            <w:tcBorders>
              <w:top w:val="nil"/>
              <w:left w:val="nil"/>
              <w:right w:val="nil"/>
            </w:tcBorders>
            <w:shd w:val="clear" w:color="auto" w:fill="auto"/>
            <w:noWrap/>
            <w:vAlign w:val="center"/>
          </w:tcPr>
          <w:p w14:paraId="7FDA2974" w14:textId="77777777" w:rsidR="00DA54F3" w:rsidRPr="001B02FE" w:rsidRDefault="00DA54F3" w:rsidP="00A535DB">
            <w:pPr>
              <w:spacing w:after="0" w:line="240" w:lineRule="auto"/>
              <w:rPr>
                <w:rFonts w:eastAsia="Times New Roman" w:cstheme="minorHAnsi"/>
                <w:sz w:val="20"/>
                <w:szCs w:val="20"/>
                <w:lang w:eastAsia="en-GB"/>
              </w:rPr>
            </w:pPr>
          </w:p>
        </w:tc>
        <w:tc>
          <w:tcPr>
            <w:tcW w:w="850" w:type="dxa"/>
            <w:tcBorders>
              <w:top w:val="nil"/>
              <w:left w:val="nil"/>
              <w:right w:val="nil"/>
            </w:tcBorders>
            <w:shd w:val="clear" w:color="auto" w:fill="auto"/>
            <w:noWrap/>
            <w:vAlign w:val="center"/>
          </w:tcPr>
          <w:p w14:paraId="6F753C07"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right w:val="nil"/>
            </w:tcBorders>
            <w:vAlign w:val="center"/>
          </w:tcPr>
          <w:p w14:paraId="7F8CC02A" w14:textId="77777777" w:rsidR="00DA54F3" w:rsidRPr="001B02FE" w:rsidRDefault="00DA54F3" w:rsidP="00A535DB">
            <w:pPr>
              <w:spacing w:after="0" w:line="240" w:lineRule="auto"/>
              <w:jc w:val="right"/>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31 December</w:t>
            </w:r>
          </w:p>
        </w:tc>
        <w:tc>
          <w:tcPr>
            <w:tcW w:w="1692" w:type="dxa"/>
            <w:tcBorders>
              <w:top w:val="nil"/>
              <w:left w:val="nil"/>
              <w:right w:val="nil"/>
            </w:tcBorders>
            <w:shd w:val="clear" w:color="auto" w:fill="auto"/>
            <w:noWrap/>
            <w:vAlign w:val="center"/>
          </w:tcPr>
          <w:p w14:paraId="55B5138D" w14:textId="77777777" w:rsidR="00DA54F3" w:rsidRPr="001B02FE" w:rsidRDefault="00DA54F3" w:rsidP="00A535DB">
            <w:pPr>
              <w:spacing w:after="0" w:line="240" w:lineRule="auto"/>
              <w:jc w:val="right"/>
              <w:rPr>
                <w:rFonts w:eastAsia="Times New Roman" w:cstheme="minorHAnsi"/>
                <w:bCs/>
                <w:color w:val="000000"/>
                <w:sz w:val="20"/>
                <w:szCs w:val="20"/>
                <w:lang w:eastAsia="en-GB"/>
              </w:rPr>
            </w:pPr>
            <w:r w:rsidRPr="001B02FE">
              <w:rPr>
                <w:rFonts w:eastAsia="Times New Roman" w:cstheme="minorHAnsi"/>
                <w:bCs/>
                <w:color w:val="000000"/>
                <w:sz w:val="20"/>
                <w:szCs w:val="20"/>
                <w:lang w:eastAsia="en-GB"/>
              </w:rPr>
              <w:t xml:space="preserve">31 December </w:t>
            </w:r>
          </w:p>
        </w:tc>
      </w:tr>
      <w:tr w:rsidR="00DA54F3" w:rsidRPr="001B02FE" w14:paraId="55465A6E" w14:textId="77777777" w:rsidTr="00A535DB">
        <w:trPr>
          <w:trHeight w:val="289"/>
        </w:trPr>
        <w:tc>
          <w:tcPr>
            <w:tcW w:w="5529" w:type="dxa"/>
            <w:tcBorders>
              <w:top w:val="nil"/>
              <w:left w:val="nil"/>
              <w:right w:val="nil"/>
            </w:tcBorders>
            <w:shd w:val="clear" w:color="auto" w:fill="auto"/>
            <w:noWrap/>
            <w:vAlign w:val="center"/>
          </w:tcPr>
          <w:p w14:paraId="2B323696" w14:textId="77777777" w:rsidR="00DA54F3" w:rsidRPr="001B02FE" w:rsidRDefault="00DA54F3" w:rsidP="00A535DB">
            <w:pPr>
              <w:spacing w:after="0" w:line="240" w:lineRule="auto"/>
              <w:rPr>
                <w:rFonts w:eastAsia="Times New Roman" w:cstheme="minorHAnsi"/>
                <w:sz w:val="20"/>
                <w:szCs w:val="20"/>
                <w:lang w:eastAsia="en-GB"/>
              </w:rPr>
            </w:pPr>
          </w:p>
        </w:tc>
        <w:tc>
          <w:tcPr>
            <w:tcW w:w="850" w:type="dxa"/>
            <w:tcBorders>
              <w:top w:val="nil"/>
              <w:left w:val="nil"/>
              <w:right w:val="nil"/>
            </w:tcBorders>
            <w:shd w:val="clear" w:color="auto" w:fill="auto"/>
            <w:noWrap/>
            <w:vAlign w:val="center"/>
          </w:tcPr>
          <w:p w14:paraId="4064E4B2"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right w:val="nil"/>
            </w:tcBorders>
            <w:vAlign w:val="center"/>
          </w:tcPr>
          <w:p w14:paraId="79A65016"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2019</w:t>
            </w:r>
          </w:p>
        </w:tc>
        <w:tc>
          <w:tcPr>
            <w:tcW w:w="1692" w:type="dxa"/>
            <w:tcBorders>
              <w:top w:val="nil"/>
              <w:left w:val="nil"/>
              <w:right w:val="nil"/>
            </w:tcBorders>
            <w:shd w:val="clear" w:color="auto" w:fill="auto"/>
            <w:noWrap/>
            <w:vAlign w:val="center"/>
          </w:tcPr>
          <w:p w14:paraId="7C5B4A82" w14:textId="77777777" w:rsidR="00DA54F3" w:rsidRPr="001B02FE" w:rsidRDefault="00DA54F3" w:rsidP="00A535DB">
            <w:pPr>
              <w:spacing w:after="0" w:line="240" w:lineRule="auto"/>
              <w:jc w:val="right"/>
              <w:rPr>
                <w:rFonts w:eastAsia="Times New Roman" w:cstheme="minorHAnsi"/>
                <w:bCs/>
                <w:sz w:val="20"/>
                <w:szCs w:val="20"/>
                <w:lang w:eastAsia="en-GB"/>
              </w:rPr>
            </w:pPr>
            <w:r w:rsidRPr="001B02FE">
              <w:rPr>
                <w:rFonts w:eastAsia="Times New Roman" w:cstheme="minorHAnsi"/>
                <w:bCs/>
                <w:sz w:val="20"/>
                <w:szCs w:val="20"/>
                <w:lang w:eastAsia="en-GB"/>
              </w:rPr>
              <w:t>2018</w:t>
            </w:r>
          </w:p>
        </w:tc>
      </w:tr>
      <w:tr w:rsidR="00DA54F3" w:rsidRPr="001B02FE" w14:paraId="21879EF4" w14:textId="77777777" w:rsidTr="00A535DB">
        <w:trPr>
          <w:trHeight w:val="289"/>
        </w:trPr>
        <w:tc>
          <w:tcPr>
            <w:tcW w:w="5529" w:type="dxa"/>
            <w:tcBorders>
              <w:left w:val="nil"/>
              <w:bottom w:val="single" w:sz="4" w:space="0" w:color="auto"/>
              <w:right w:val="nil"/>
            </w:tcBorders>
            <w:shd w:val="clear" w:color="auto" w:fill="auto"/>
            <w:noWrap/>
            <w:vAlign w:val="center"/>
          </w:tcPr>
          <w:p w14:paraId="07081BE2" w14:textId="77777777" w:rsidR="00DA54F3" w:rsidRPr="001B02FE" w:rsidRDefault="00DA54F3" w:rsidP="00A535DB">
            <w:pPr>
              <w:spacing w:after="0" w:line="240" w:lineRule="auto"/>
              <w:rPr>
                <w:rFonts w:eastAsia="Times New Roman" w:cstheme="minorHAnsi"/>
                <w:sz w:val="20"/>
                <w:szCs w:val="20"/>
                <w:lang w:eastAsia="en-GB"/>
              </w:rPr>
            </w:pPr>
          </w:p>
        </w:tc>
        <w:tc>
          <w:tcPr>
            <w:tcW w:w="850" w:type="dxa"/>
            <w:tcBorders>
              <w:left w:val="nil"/>
              <w:bottom w:val="single" w:sz="4" w:space="0" w:color="auto"/>
              <w:right w:val="nil"/>
            </w:tcBorders>
            <w:shd w:val="clear" w:color="auto" w:fill="auto"/>
            <w:noWrap/>
            <w:vAlign w:val="center"/>
          </w:tcPr>
          <w:p w14:paraId="5D22727C" w14:textId="77777777" w:rsidR="00DA54F3" w:rsidRPr="001B02FE" w:rsidRDefault="00DA54F3" w:rsidP="00A535DB">
            <w:pPr>
              <w:spacing w:after="0" w:line="240" w:lineRule="auto"/>
              <w:jc w:val="center"/>
              <w:rPr>
                <w:rFonts w:eastAsia="Times New Roman" w:cstheme="minorHAnsi"/>
                <w:sz w:val="20"/>
                <w:szCs w:val="20"/>
                <w:lang w:eastAsia="en-GB"/>
              </w:rPr>
            </w:pPr>
            <w:r w:rsidRPr="001B02FE">
              <w:rPr>
                <w:rFonts w:eastAsia="Times New Roman" w:cstheme="minorHAnsi"/>
                <w:sz w:val="20"/>
                <w:szCs w:val="20"/>
                <w:lang w:eastAsia="en-GB"/>
              </w:rPr>
              <w:t>Notes</w:t>
            </w:r>
          </w:p>
        </w:tc>
        <w:tc>
          <w:tcPr>
            <w:tcW w:w="1678" w:type="dxa"/>
            <w:tcBorders>
              <w:left w:val="nil"/>
              <w:bottom w:val="single" w:sz="4" w:space="0" w:color="auto"/>
              <w:right w:val="nil"/>
            </w:tcBorders>
            <w:vAlign w:val="center"/>
          </w:tcPr>
          <w:p w14:paraId="0D8EE088"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 xml:space="preserve">£’000 </w:t>
            </w:r>
          </w:p>
        </w:tc>
        <w:tc>
          <w:tcPr>
            <w:tcW w:w="1692" w:type="dxa"/>
            <w:tcBorders>
              <w:left w:val="nil"/>
              <w:bottom w:val="single" w:sz="4" w:space="0" w:color="auto"/>
              <w:right w:val="nil"/>
            </w:tcBorders>
            <w:shd w:val="clear" w:color="auto" w:fill="auto"/>
            <w:noWrap/>
            <w:vAlign w:val="center"/>
          </w:tcPr>
          <w:p w14:paraId="3D4880F2" w14:textId="77777777" w:rsidR="00DA54F3" w:rsidRPr="001B02FE" w:rsidRDefault="00DA54F3" w:rsidP="00A535DB">
            <w:pPr>
              <w:spacing w:after="0" w:line="240" w:lineRule="auto"/>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£’000 </w:t>
            </w:r>
          </w:p>
        </w:tc>
      </w:tr>
      <w:tr w:rsidR="00DA54F3" w:rsidRPr="001B02FE" w14:paraId="2E9B5513" w14:textId="77777777" w:rsidTr="00A535DB">
        <w:trPr>
          <w:trHeight w:val="289"/>
        </w:trPr>
        <w:tc>
          <w:tcPr>
            <w:tcW w:w="5529" w:type="dxa"/>
            <w:tcBorders>
              <w:top w:val="single" w:sz="4" w:space="0" w:color="auto"/>
              <w:left w:val="nil"/>
              <w:right w:val="nil"/>
            </w:tcBorders>
            <w:shd w:val="clear" w:color="auto" w:fill="auto"/>
            <w:noWrap/>
            <w:vAlign w:val="center"/>
          </w:tcPr>
          <w:p w14:paraId="6AE9C4B7" w14:textId="77777777" w:rsidR="00DA54F3" w:rsidRPr="001B02FE" w:rsidRDefault="00DA54F3" w:rsidP="00A535DB">
            <w:pPr>
              <w:spacing w:after="0" w:line="240" w:lineRule="auto"/>
              <w:rPr>
                <w:rFonts w:eastAsia="Times New Roman" w:cstheme="minorHAnsi"/>
                <w:sz w:val="20"/>
                <w:szCs w:val="20"/>
                <w:lang w:eastAsia="en-GB"/>
              </w:rPr>
            </w:pPr>
          </w:p>
        </w:tc>
        <w:tc>
          <w:tcPr>
            <w:tcW w:w="850" w:type="dxa"/>
            <w:tcBorders>
              <w:top w:val="single" w:sz="4" w:space="0" w:color="auto"/>
              <w:left w:val="nil"/>
              <w:right w:val="nil"/>
            </w:tcBorders>
            <w:shd w:val="clear" w:color="auto" w:fill="auto"/>
            <w:noWrap/>
            <w:vAlign w:val="center"/>
          </w:tcPr>
          <w:p w14:paraId="252C84A9" w14:textId="77777777" w:rsidR="00DA54F3" w:rsidRPr="001B02FE" w:rsidRDefault="00DA54F3" w:rsidP="00A535DB">
            <w:pPr>
              <w:spacing w:after="0" w:line="240" w:lineRule="auto"/>
              <w:jc w:val="center"/>
              <w:rPr>
                <w:rFonts w:eastAsia="Times New Roman" w:cstheme="minorHAnsi"/>
                <w:bCs/>
                <w:color w:val="000000"/>
                <w:sz w:val="20"/>
                <w:szCs w:val="20"/>
                <w:lang w:eastAsia="en-GB"/>
              </w:rPr>
            </w:pPr>
          </w:p>
        </w:tc>
        <w:tc>
          <w:tcPr>
            <w:tcW w:w="1678" w:type="dxa"/>
            <w:tcBorders>
              <w:top w:val="single" w:sz="4" w:space="0" w:color="auto"/>
              <w:left w:val="nil"/>
              <w:right w:val="nil"/>
            </w:tcBorders>
            <w:vAlign w:val="center"/>
          </w:tcPr>
          <w:p w14:paraId="37EA1BB1" w14:textId="77777777" w:rsidR="00DA54F3" w:rsidRPr="001B02FE" w:rsidRDefault="00DA54F3" w:rsidP="00A535DB">
            <w:pPr>
              <w:spacing w:after="0" w:line="240" w:lineRule="auto"/>
              <w:jc w:val="right"/>
              <w:rPr>
                <w:rFonts w:eastAsia="Times New Roman" w:cstheme="minorHAnsi"/>
                <w:b/>
                <w:sz w:val="20"/>
                <w:szCs w:val="20"/>
                <w:lang w:eastAsia="en-GB"/>
              </w:rPr>
            </w:pPr>
          </w:p>
        </w:tc>
        <w:tc>
          <w:tcPr>
            <w:tcW w:w="1692" w:type="dxa"/>
            <w:tcBorders>
              <w:top w:val="single" w:sz="4" w:space="0" w:color="auto"/>
              <w:left w:val="nil"/>
              <w:right w:val="nil"/>
            </w:tcBorders>
            <w:shd w:val="clear" w:color="auto" w:fill="auto"/>
            <w:noWrap/>
            <w:vAlign w:val="center"/>
          </w:tcPr>
          <w:p w14:paraId="2B35160A" w14:textId="77777777" w:rsidR="00DA54F3" w:rsidRPr="001B02FE" w:rsidRDefault="00DA54F3" w:rsidP="00A535DB">
            <w:pPr>
              <w:spacing w:after="0" w:line="240" w:lineRule="auto"/>
              <w:jc w:val="right"/>
              <w:rPr>
                <w:rFonts w:eastAsia="Times New Roman" w:cstheme="minorHAnsi"/>
                <w:sz w:val="20"/>
                <w:szCs w:val="20"/>
                <w:lang w:eastAsia="en-GB"/>
              </w:rPr>
            </w:pPr>
          </w:p>
        </w:tc>
      </w:tr>
      <w:tr w:rsidR="00DA54F3" w:rsidRPr="001B02FE" w14:paraId="37DE6F18" w14:textId="77777777" w:rsidTr="00A535DB">
        <w:trPr>
          <w:trHeight w:val="289"/>
        </w:trPr>
        <w:tc>
          <w:tcPr>
            <w:tcW w:w="5529" w:type="dxa"/>
            <w:tcBorders>
              <w:top w:val="nil"/>
              <w:left w:val="nil"/>
              <w:bottom w:val="nil"/>
              <w:right w:val="nil"/>
            </w:tcBorders>
            <w:shd w:val="clear" w:color="auto" w:fill="auto"/>
            <w:noWrap/>
            <w:vAlign w:val="center"/>
          </w:tcPr>
          <w:p w14:paraId="181B92C5"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Revenue</w:t>
            </w:r>
          </w:p>
        </w:tc>
        <w:tc>
          <w:tcPr>
            <w:tcW w:w="850" w:type="dxa"/>
            <w:tcBorders>
              <w:top w:val="nil"/>
              <w:left w:val="nil"/>
              <w:bottom w:val="nil"/>
              <w:right w:val="nil"/>
            </w:tcBorders>
            <w:shd w:val="clear" w:color="auto" w:fill="auto"/>
            <w:noWrap/>
            <w:vAlign w:val="center"/>
          </w:tcPr>
          <w:p w14:paraId="74DA5360" w14:textId="1E39E77D" w:rsidR="00DA54F3" w:rsidRPr="001B02FE" w:rsidRDefault="00FA091D" w:rsidP="00A535DB">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3</w:t>
            </w:r>
          </w:p>
        </w:tc>
        <w:tc>
          <w:tcPr>
            <w:tcW w:w="1678" w:type="dxa"/>
            <w:tcBorders>
              <w:top w:val="nil"/>
              <w:left w:val="nil"/>
              <w:bottom w:val="nil"/>
              <w:right w:val="nil"/>
            </w:tcBorders>
            <w:vAlign w:val="center"/>
          </w:tcPr>
          <w:p w14:paraId="76BD7279" w14:textId="77777777" w:rsidR="00DA54F3" w:rsidRPr="001B02FE" w:rsidRDefault="00DA54F3" w:rsidP="00A535DB">
            <w:pPr>
              <w:tabs>
                <w:tab w:val="decimal" w:pos="1451"/>
              </w:tabs>
              <w:spacing w:after="0" w:line="240" w:lineRule="auto"/>
              <w:ind w:right="-130"/>
              <w:jc w:val="both"/>
              <w:rPr>
                <w:rFonts w:eastAsia="Times New Roman" w:cstheme="minorHAnsi"/>
                <w:b/>
                <w:sz w:val="20"/>
                <w:szCs w:val="20"/>
                <w:lang w:val="en-US" w:eastAsia="en-GB"/>
              </w:rPr>
            </w:pPr>
            <w:r w:rsidRPr="001B02FE">
              <w:rPr>
                <w:rFonts w:eastAsia="Times New Roman" w:cstheme="minorHAnsi"/>
                <w:b/>
                <w:sz w:val="20"/>
                <w:szCs w:val="20"/>
                <w:lang w:val="en-US" w:eastAsia="en-GB"/>
              </w:rPr>
              <w:t>50,573</w:t>
            </w:r>
          </w:p>
        </w:tc>
        <w:tc>
          <w:tcPr>
            <w:tcW w:w="1692" w:type="dxa"/>
            <w:tcBorders>
              <w:top w:val="nil"/>
              <w:left w:val="nil"/>
              <w:bottom w:val="nil"/>
              <w:right w:val="nil"/>
            </w:tcBorders>
            <w:shd w:val="clear" w:color="auto" w:fill="auto"/>
            <w:noWrap/>
            <w:vAlign w:val="center"/>
          </w:tcPr>
          <w:p w14:paraId="5CDD7BAC" w14:textId="77777777" w:rsidR="00DA54F3" w:rsidRPr="001B02FE" w:rsidRDefault="00DA54F3" w:rsidP="00A535DB">
            <w:pPr>
              <w:tabs>
                <w:tab w:val="decimal" w:pos="1451"/>
              </w:tabs>
              <w:spacing w:after="0" w:line="240" w:lineRule="auto"/>
              <w:ind w:right="-130"/>
              <w:jc w:val="both"/>
              <w:rPr>
                <w:rFonts w:eastAsia="Times New Roman" w:cstheme="minorHAnsi"/>
                <w:bCs/>
                <w:sz w:val="20"/>
                <w:szCs w:val="20"/>
                <w:lang w:val="en-US" w:eastAsia="en-GB"/>
              </w:rPr>
            </w:pPr>
            <w:r w:rsidRPr="001B02FE">
              <w:rPr>
                <w:rFonts w:eastAsia="Times New Roman" w:cstheme="minorHAnsi"/>
                <w:bCs/>
                <w:sz w:val="20"/>
                <w:szCs w:val="20"/>
                <w:lang w:val="en-US" w:eastAsia="en-GB"/>
              </w:rPr>
              <w:t>21,318</w:t>
            </w:r>
          </w:p>
        </w:tc>
      </w:tr>
      <w:tr w:rsidR="00DA54F3" w:rsidRPr="001B02FE" w14:paraId="2D7B9311" w14:textId="77777777" w:rsidTr="00A535DB">
        <w:trPr>
          <w:trHeight w:val="289"/>
        </w:trPr>
        <w:tc>
          <w:tcPr>
            <w:tcW w:w="5529" w:type="dxa"/>
            <w:tcBorders>
              <w:top w:val="nil"/>
              <w:left w:val="nil"/>
              <w:bottom w:val="single" w:sz="4" w:space="0" w:color="auto"/>
              <w:right w:val="nil"/>
            </w:tcBorders>
            <w:shd w:val="clear" w:color="auto" w:fill="auto"/>
            <w:noWrap/>
            <w:vAlign w:val="center"/>
          </w:tcPr>
          <w:p w14:paraId="6B58BDFD"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Cost of goods</w:t>
            </w:r>
          </w:p>
        </w:tc>
        <w:tc>
          <w:tcPr>
            <w:tcW w:w="850" w:type="dxa"/>
            <w:tcBorders>
              <w:top w:val="nil"/>
              <w:left w:val="nil"/>
              <w:bottom w:val="single" w:sz="4" w:space="0" w:color="auto"/>
              <w:right w:val="nil"/>
            </w:tcBorders>
            <w:shd w:val="clear" w:color="auto" w:fill="auto"/>
            <w:noWrap/>
            <w:vAlign w:val="center"/>
          </w:tcPr>
          <w:p w14:paraId="467D7DAF"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bottom w:val="single" w:sz="4" w:space="0" w:color="auto"/>
              <w:right w:val="nil"/>
            </w:tcBorders>
            <w:vAlign w:val="center"/>
          </w:tcPr>
          <w:p w14:paraId="574B7645" w14:textId="77777777" w:rsidR="00DA54F3" w:rsidRPr="001B02FE" w:rsidRDefault="00DA54F3" w:rsidP="00A535DB">
            <w:pPr>
              <w:tabs>
                <w:tab w:val="decimal" w:pos="1451"/>
              </w:tabs>
              <w:spacing w:after="0" w:line="240" w:lineRule="auto"/>
              <w:ind w:right="-130"/>
              <w:jc w:val="both"/>
              <w:rPr>
                <w:rFonts w:eastAsia="Times New Roman" w:cstheme="minorHAnsi"/>
                <w:b/>
                <w:sz w:val="20"/>
                <w:szCs w:val="20"/>
                <w:lang w:val="en-US" w:eastAsia="en-GB"/>
              </w:rPr>
            </w:pPr>
            <w:r w:rsidRPr="001B02FE">
              <w:rPr>
                <w:rFonts w:eastAsia="Times New Roman" w:cstheme="minorHAnsi"/>
                <w:b/>
                <w:sz w:val="20"/>
                <w:szCs w:val="20"/>
                <w:lang w:val="en-US" w:eastAsia="en-GB"/>
              </w:rPr>
              <w:t>(28,366)</w:t>
            </w:r>
          </w:p>
        </w:tc>
        <w:tc>
          <w:tcPr>
            <w:tcW w:w="1692" w:type="dxa"/>
            <w:tcBorders>
              <w:top w:val="nil"/>
              <w:left w:val="nil"/>
              <w:bottom w:val="single" w:sz="4" w:space="0" w:color="auto"/>
              <w:right w:val="nil"/>
            </w:tcBorders>
            <w:shd w:val="clear" w:color="auto" w:fill="auto"/>
            <w:noWrap/>
            <w:vAlign w:val="center"/>
          </w:tcPr>
          <w:p w14:paraId="05050ACA" w14:textId="77777777" w:rsidR="00DA54F3" w:rsidRPr="001B02FE" w:rsidRDefault="00DA54F3" w:rsidP="00A535DB">
            <w:pPr>
              <w:tabs>
                <w:tab w:val="decimal" w:pos="1451"/>
              </w:tabs>
              <w:spacing w:after="0" w:line="240" w:lineRule="auto"/>
              <w:ind w:right="-130"/>
              <w:jc w:val="both"/>
              <w:rPr>
                <w:rFonts w:eastAsia="Times New Roman" w:cstheme="minorHAnsi"/>
                <w:bCs/>
                <w:sz w:val="20"/>
                <w:szCs w:val="20"/>
                <w:lang w:val="en-US" w:eastAsia="en-GB"/>
              </w:rPr>
            </w:pPr>
            <w:r w:rsidRPr="001B02FE">
              <w:rPr>
                <w:rFonts w:eastAsia="Times New Roman" w:cstheme="minorHAnsi"/>
                <w:bCs/>
                <w:sz w:val="20"/>
                <w:szCs w:val="20"/>
                <w:lang w:val="en-US" w:eastAsia="en-GB"/>
              </w:rPr>
              <w:t>(9,363)</w:t>
            </w:r>
          </w:p>
        </w:tc>
      </w:tr>
      <w:tr w:rsidR="00DA54F3" w:rsidRPr="001B02FE" w14:paraId="60C71E4C" w14:textId="77777777" w:rsidTr="00A535DB">
        <w:trPr>
          <w:trHeight w:val="289"/>
        </w:trPr>
        <w:tc>
          <w:tcPr>
            <w:tcW w:w="5529" w:type="dxa"/>
            <w:tcBorders>
              <w:top w:val="single" w:sz="4" w:space="0" w:color="auto"/>
              <w:left w:val="nil"/>
              <w:right w:val="nil"/>
            </w:tcBorders>
            <w:shd w:val="clear" w:color="auto" w:fill="auto"/>
            <w:noWrap/>
            <w:vAlign w:val="center"/>
          </w:tcPr>
          <w:p w14:paraId="78C5C90A" w14:textId="77777777" w:rsidR="00DA54F3" w:rsidRPr="001B02FE" w:rsidRDefault="00DA54F3" w:rsidP="00A535DB">
            <w:pPr>
              <w:spacing w:after="0" w:line="240" w:lineRule="auto"/>
              <w:rPr>
                <w:rFonts w:eastAsia="Times New Roman" w:cstheme="minorHAnsi"/>
                <w:b/>
                <w:sz w:val="20"/>
                <w:szCs w:val="20"/>
                <w:lang w:eastAsia="en-GB"/>
              </w:rPr>
            </w:pPr>
            <w:r w:rsidRPr="001B02FE">
              <w:rPr>
                <w:rFonts w:eastAsia="Times New Roman" w:cstheme="minorHAnsi"/>
                <w:b/>
                <w:sz w:val="20"/>
                <w:szCs w:val="20"/>
                <w:lang w:eastAsia="en-GB"/>
              </w:rPr>
              <w:t>Gross profit</w:t>
            </w:r>
          </w:p>
        </w:tc>
        <w:tc>
          <w:tcPr>
            <w:tcW w:w="850" w:type="dxa"/>
            <w:tcBorders>
              <w:top w:val="single" w:sz="4" w:space="0" w:color="auto"/>
              <w:left w:val="nil"/>
              <w:right w:val="nil"/>
            </w:tcBorders>
            <w:shd w:val="clear" w:color="auto" w:fill="auto"/>
            <w:noWrap/>
            <w:vAlign w:val="center"/>
          </w:tcPr>
          <w:p w14:paraId="56BE8AFA"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single" w:sz="4" w:space="0" w:color="auto"/>
              <w:left w:val="nil"/>
              <w:right w:val="nil"/>
            </w:tcBorders>
            <w:vAlign w:val="center"/>
          </w:tcPr>
          <w:p w14:paraId="66E68CE2" w14:textId="77777777" w:rsidR="00DA54F3" w:rsidRPr="001B02FE" w:rsidRDefault="00DA54F3" w:rsidP="00A535DB">
            <w:pPr>
              <w:tabs>
                <w:tab w:val="decimal" w:pos="1451"/>
              </w:tabs>
              <w:spacing w:after="0" w:line="240" w:lineRule="auto"/>
              <w:ind w:right="-130"/>
              <w:jc w:val="both"/>
              <w:rPr>
                <w:rFonts w:eastAsia="Times New Roman" w:cstheme="minorHAnsi"/>
                <w:b/>
                <w:sz w:val="20"/>
                <w:szCs w:val="20"/>
                <w:lang w:val="en-US" w:eastAsia="en-GB"/>
              </w:rPr>
            </w:pPr>
            <w:r w:rsidRPr="001B02FE">
              <w:rPr>
                <w:rFonts w:eastAsia="Times New Roman" w:cstheme="minorHAnsi"/>
                <w:b/>
                <w:sz w:val="20"/>
                <w:szCs w:val="20"/>
                <w:lang w:val="en-US" w:eastAsia="en-GB"/>
              </w:rPr>
              <w:t>22,207</w:t>
            </w:r>
          </w:p>
        </w:tc>
        <w:tc>
          <w:tcPr>
            <w:tcW w:w="1692" w:type="dxa"/>
            <w:tcBorders>
              <w:top w:val="single" w:sz="4" w:space="0" w:color="auto"/>
              <w:left w:val="nil"/>
              <w:right w:val="nil"/>
            </w:tcBorders>
            <w:shd w:val="clear" w:color="auto" w:fill="auto"/>
            <w:noWrap/>
            <w:vAlign w:val="center"/>
          </w:tcPr>
          <w:p w14:paraId="35B7A1CE" w14:textId="77777777" w:rsidR="00DA54F3" w:rsidRPr="001B02FE" w:rsidRDefault="00DA54F3" w:rsidP="00A535DB">
            <w:pPr>
              <w:tabs>
                <w:tab w:val="decimal" w:pos="1451"/>
              </w:tabs>
              <w:spacing w:after="0" w:line="240" w:lineRule="auto"/>
              <w:ind w:right="-130"/>
              <w:jc w:val="both"/>
              <w:rPr>
                <w:rFonts w:eastAsia="Times New Roman" w:cstheme="minorHAnsi"/>
                <w:bCs/>
                <w:sz w:val="20"/>
                <w:szCs w:val="20"/>
                <w:lang w:val="en-US" w:eastAsia="en-GB"/>
              </w:rPr>
            </w:pPr>
            <w:r w:rsidRPr="001B02FE">
              <w:rPr>
                <w:rFonts w:eastAsia="Times New Roman" w:cstheme="minorHAnsi"/>
                <w:bCs/>
                <w:sz w:val="20"/>
                <w:szCs w:val="20"/>
                <w:lang w:val="en-US" w:eastAsia="en-GB"/>
              </w:rPr>
              <w:t>11,955</w:t>
            </w:r>
          </w:p>
        </w:tc>
      </w:tr>
      <w:tr w:rsidR="00DA54F3" w:rsidRPr="001B02FE" w14:paraId="6D28275A" w14:textId="77777777" w:rsidTr="00A535DB">
        <w:trPr>
          <w:trHeight w:val="289"/>
        </w:trPr>
        <w:tc>
          <w:tcPr>
            <w:tcW w:w="5529" w:type="dxa"/>
            <w:tcBorders>
              <w:left w:val="nil"/>
              <w:bottom w:val="single" w:sz="4" w:space="0" w:color="auto"/>
              <w:right w:val="nil"/>
            </w:tcBorders>
            <w:shd w:val="clear" w:color="auto" w:fill="auto"/>
            <w:noWrap/>
            <w:vAlign w:val="center"/>
          </w:tcPr>
          <w:p w14:paraId="51E227DE" w14:textId="77777777" w:rsidR="00DA54F3" w:rsidRPr="001B02FE" w:rsidRDefault="00DA54F3" w:rsidP="00A535DB">
            <w:pPr>
              <w:spacing w:after="0" w:line="240" w:lineRule="auto"/>
              <w:rPr>
                <w:rFonts w:eastAsia="Times New Roman" w:cstheme="minorHAnsi"/>
                <w:bCs/>
                <w:sz w:val="20"/>
                <w:szCs w:val="20"/>
                <w:lang w:eastAsia="en-GB"/>
              </w:rPr>
            </w:pPr>
            <w:r w:rsidRPr="001B02FE">
              <w:rPr>
                <w:rFonts w:eastAsia="Times New Roman" w:cstheme="minorHAnsi"/>
                <w:bCs/>
                <w:sz w:val="20"/>
                <w:szCs w:val="20"/>
                <w:lang w:eastAsia="en-GB"/>
              </w:rPr>
              <w:t>Operating expenses</w:t>
            </w:r>
          </w:p>
        </w:tc>
        <w:tc>
          <w:tcPr>
            <w:tcW w:w="850" w:type="dxa"/>
            <w:tcBorders>
              <w:left w:val="nil"/>
              <w:bottom w:val="single" w:sz="4" w:space="0" w:color="auto"/>
              <w:right w:val="nil"/>
            </w:tcBorders>
            <w:shd w:val="clear" w:color="auto" w:fill="auto"/>
            <w:noWrap/>
            <w:vAlign w:val="center"/>
          </w:tcPr>
          <w:p w14:paraId="6C205CD1" w14:textId="2E727550" w:rsidR="00DA54F3" w:rsidRPr="001B02FE" w:rsidRDefault="00FA091D" w:rsidP="00A535DB">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4</w:t>
            </w:r>
          </w:p>
        </w:tc>
        <w:tc>
          <w:tcPr>
            <w:tcW w:w="1678" w:type="dxa"/>
            <w:tcBorders>
              <w:left w:val="nil"/>
              <w:bottom w:val="single" w:sz="4" w:space="0" w:color="auto"/>
              <w:right w:val="nil"/>
            </w:tcBorders>
            <w:vAlign w:val="center"/>
          </w:tcPr>
          <w:p w14:paraId="3095B0B8" w14:textId="77777777" w:rsidR="00DA54F3" w:rsidRPr="001B02FE" w:rsidRDefault="00DA54F3" w:rsidP="00A535DB">
            <w:pPr>
              <w:spacing w:after="0" w:line="240" w:lineRule="auto"/>
              <w:ind w:right="-57"/>
              <w:jc w:val="right"/>
              <w:rPr>
                <w:rFonts w:eastAsia="Times New Roman" w:cstheme="minorHAnsi"/>
                <w:b/>
                <w:sz w:val="20"/>
                <w:szCs w:val="20"/>
                <w:lang w:eastAsia="en-GB"/>
              </w:rPr>
            </w:pPr>
            <w:r w:rsidRPr="001B02FE">
              <w:rPr>
                <w:rFonts w:eastAsia="Times New Roman" w:cstheme="minorHAnsi"/>
                <w:b/>
                <w:sz w:val="20"/>
                <w:szCs w:val="20"/>
                <w:lang w:eastAsia="en-GB"/>
              </w:rPr>
              <w:t>(27,252)</w:t>
            </w:r>
          </w:p>
        </w:tc>
        <w:tc>
          <w:tcPr>
            <w:tcW w:w="1692" w:type="dxa"/>
            <w:tcBorders>
              <w:left w:val="nil"/>
              <w:bottom w:val="single" w:sz="4" w:space="0" w:color="auto"/>
              <w:right w:val="nil"/>
            </w:tcBorders>
            <w:shd w:val="clear" w:color="auto" w:fill="auto"/>
            <w:noWrap/>
            <w:vAlign w:val="center"/>
          </w:tcPr>
          <w:p w14:paraId="79A940CE" w14:textId="77777777" w:rsidR="00DA54F3" w:rsidRPr="001B02FE" w:rsidRDefault="00DA54F3" w:rsidP="00A535DB">
            <w:pPr>
              <w:spacing w:after="0" w:line="240" w:lineRule="auto"/>
              <w:ind w:right="-57"/>
              <w:jc w:val="right"/>
              <w:rPr>
                <w:rFonts w:eastAsia="Times New Roman" w:cstheme="minorHAnsi"/>
                <w:bCs/>
                <w:sz w:val="20"/>
                <w:szCs w:val="20"/>
                <w:lang w:eastAsia="en-GB"/>
              </w:rPr>
            </w:pPr>
            <w:r w:rsidRPr="001B02FE">
              <w:rPr>
                <w:rFonts w:eastAsia="Times New Roman" w:cstheme="minorHAnsi"/>
                <w:bCs/>
                <w:sz w:val="20"/>
                <w:szCs w:val="20"/>
                <w:lang w:eastAsia="en-GB"/>
              </w:rPr>
              <w:t>(17,950)</w:t>
            </w:r>
          </w:p>
        </w:tc>
      </w:tr>
      <w:tr w:rsidR="00DA54F3" w:rsidRPr="001B02FE" w14:paraId="79FD0AD1" w14:textId="77777777" w:rsidTr="00A535DB">
        <w:trPr>
          <w:trHeight w:val="289"/>
        </w:trPr>
        <w:tc>
          <w:tcPr>
            <w:tcW w:w="5529" w:type="dxa"/>
            <w:tcBorders>
              <w:top w:val="nil"/>
              <w:left w:val="nil"/>
              <w:bottom w:val="nil"/>
              <w:right w:val="nil"/>
            </w:tcBorders>
            <w:shd w:val="clear" w:color="auto" w:fill="auto"/>
            <w:noWrap/>
            <w:vAlign w:val="center"/>
          </w:tcPr>
          <w:p w14:paraId="387AA61A"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Loss from operations</w:t>
            </w:r>
          </w:p>
        </w:tc>
        <w:tc>
          <w:tcPr>
            <w:tcW w:w="850" w:type="dxa"/>
            <w:tcBorders>
              <w:top w:val="nil"/>
              <w:left w:val="nil"/>
              <w:bottom w:val="nil"/>
              <w:right w:val="nil"/>
            </w:tcBorders>
            <w:shd w:val="clear" w:color="auto" w:fill="auto"/>
            <w:noWrap/>
            <w:vAlign w:val="center"/>
          </w:tcPr>
          <w:p w14:paraId="5442F768" w14:textId="780B3BCD" w:rsidR="00DA54F3" w:rsidRPr="001B02FE" w:rsidRDefault="00FA091D" w:rsidP="00A535DB">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5</w:t>
            </w:r>
          </w:p>
        </w:tc>
        <w:tc>
          <w:tcPr>
            <w:tcW w:w="1678" w:type="dxa"/>
            <w:tcBorders>
              <w:top w:val="nil"/>
              <w:left w:val="nil"/>
              <w:bottom w:val="nil"/>
              <w:right w:val="nil"/>
            </w:tcBorders>
            <w:vAlign w:val="center"/>
          </w:tcPr>
          <w:p w14:paraId="281A20F5" w14:textId="77777777" w:rsidR="00DA54F3" w:rsidRPr="001B02FE" w:rsidRDefault="00DA54F3" w:rsidP="00A535DB">
            <w:pPr>
              <w:tabs>
                <w:tab w:val="decimal" w:pos="1451"/>
              </w:tabs>
              <w:spacing w:after="0" w:line="240" w:lineRule="auto"/>
              <w:ind w:right="-131"/>
              <w:jc w:val="both"/>
              <w:rPr>
                <w:rFonts w:eastAsia="Times New Roman" w:cstheme="minorHAnsi"/>
                <w:b/>
                <w:sz w:val="20"/>
                <w:szCs w:val="20"/>
                <w:lang w:eastAsia="en-GB"/>
              </w:rPr>
            </w:pPr>
            <w:r w:rsidRPr="001B02FE">
              <w:rPr>
                <w:rFonts w:eastAsia="Times New Roman" w:cstheme="minorHAnsi"/>
                <w:b/>
                <w:sz w:val="20"/>
                <w:szCs w:val="20"/>
                <w:lang w:eastAsia="en-GB"/>
              </w:rPr>
              <w:t>(5,045)</w:t>
            </w:r>
          </w:p>
        </w:tc>
        <w:tc>
          <w:tcPr>
            <w:tcW w:w="1692" w:type="dxa"/>
            <w:tcBorders>
              <w:top w:val="nil"/>
              <w:left w:val="nil"/>
              <w:bottom w:val="nil"/>
              <w:right w:val="nil"/>
            </w:tcBorders>
            <w:shd w:val="clear" w:color="auto" w:fill="auto"/>
            <w:noWrap/>
            <w:vAlign w:val="center"/>
          </w:tcPr>
          <w:p w14:paraId="0D6F181F" w14:textId="77777777" w:rsidR="00DA54F3" w:rsidRPr="001B02FE" w:rsidRDefault="00DA54F3" w:rsidP="00A535DB">
            <w:pPr>
              <w:tabs>
                <w:tab w:val="decimal" w:pos="1451"/>
              </w:tabs>
              <w:spacing w:after="0" w:line="240" w:lineRule="auto"/>
              <w:ind w:right="-131"/>
              <w:jc w:val="both"/>
              <w:rPr>
                <w:rFonts w:eastAsia="Times New Roman" w:cstheme="minorHAnsi"/>
                <w:bCs/>
                <w:sz w:val="20"/>
                <w:szCs w:val="20"/>
                <w:lang w:eastAsia="en-GB"/>
              </w:rPr>
            </w:pPr>
            <w:r w:rsidRPr="001B02FE">
              <w:rPr>
                <w:rFonts w:eastAsia="Times New Roman" w:cstheme="minorHAnsi"/>
                <w:bCs/>
                <w:sz w:val="20"/>
                <w:szCs w:val="20"/>
                <w:lang w:eastAsia="en-GB"/>
              </w:rPr>
              <w:t>(5,995)</w:t>
            </w:r>
          </w:p>
        </w:tc>
      </w:tr>
      <w:tr w:rsidR="00DA54F3" w:rsidRPr="001B02FE" w14:paraId="1C695477" w14:textId="77777777" w:rsidTr="00A535DB">
        <w:trPr>
          <w:trHeight w:val="289"/>
        </w:trPr>
        <w:tc>
          <w:tcPr>
            <w:tcW w:w="5529" w:type="dxa"/>
            <w:tcBorders>
              <w:top w:val="nil"/>
              <w:left w:val="nil"/>
              <w:right w:val="nil"/>
            </w:tcBorders>
            <w:shd w:val="clear" w:color="auto" w:fill="auto"/>
            <w:noWrap/>
            <w:vAlign w:val="center"/>
          </w:tcPr>
          <w:p w14:paraId="7B94DE8C"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Finance income</w:t>
            </w:r>
          </w:p>
        </w:tc>
        <w:tc>
          <w:tcPr>
            <w:tcW w:w="850" w:type="dxa"/>
            <w:tcBorders>
              <w:top w:val="nil"/>
              <w:left w:val="nil"/>
              <w:right w:val="nil"/>
            </w:tcBorders>
            <w:shd w:val="clear" w:color="auto" w:fill="auto"/>
            <w:noWrap/>
            <w:vAlign w:val="center"/>
          </w:tcPr>
          <w:p w14:paraId="192A8CFC"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right w:val="nil"/>
            </w:tcBorders>
            <w:vAlign w:val="center"/>
          </w:tcPr>
          <w:p w14:paraId="106F5739" w14:textId="77777777" w:rsidR="00DA54F3" w:rsidRPr="001B02FE" w:rsidRDefault="00DA54F3" w:rsidP="00A535DB">
            <w:pPr>
              <w:spacing w:after="0" w:line="240" w:lineRule="auto"/>
              <w:jc w:val="right"/>
              <w:rPr>
                <w:rFonts w:eastAsia="Times New Roman" w:cstheme="minorHAnsi"/>
                <w:b/>
                <w:i/>
                <w:sz w:val="20"/>
                <w:szCs w:val="20"/>
                <w:lang w:eastAsia="en-GB"/>
              </w:rPr>
            </w:pPr>
            <w:r w:rsidRPr="001B02FE">
              <w:rPr>
                <w:rFonts w:eastAsia="Times New Roman" w:cstheme="minorHAnsi"/>
                <w:b/>
                <w:i/>
                <w:sz w:val="20"/>
                <w:szCs w:val="20"/>
                <w:lang w:eastAsia="en-GB"/>
              </w:rPr>
              <w:t>4</w:t>
            </w:r>
          </w:p>
        </w:tc>
        <w:tc>
          <w:tcPr>
            <w:tcW w:w="1692" w:type="dxa"/>
            <w:tcBorders>
              <w:top w:val="nil"/>
              <w:left w:val="nil"/>
              <w:right w:val="nil"/>
            </w:tcBorders>
            <w:shd w:val="clear" w:color="auto" w:fill="auto"/>
            <w:noWrap/>
            <w:vAlign w:val="center"/>
          </w:tcPr>
          <w:p w14:paraId="1A71D79D" w14:textId="77777777" w:rsidR="00DA54F3" w:rsidRPr="001B02FE" w:rsidRDefault="00DA54F3" w:rsidP="00A535DB">
            <w:pPr>
              <w:spacing w:after="0" w:line="240" w:lineRule="auto"/>
              <w:jc w:val="right"/>
              <w:rPr>
                <w:rFonts w:eastAsia="Times New Roman" w:cstheme="minorHAnsi"/>
                <w:bCs/>
                <w:i/>
                <w:sz w:val="20"/>
                <w:szCs w:val="20"/>
                <w:lang w:eastAsia="en-GB"/>
              </w:rPr>
            </w:pPr>
            <w:r w:rsidRPr="001B02FE">
              <w:rPr>
                <w:rFonts w:eastAsia="Times New Roman" w:cstheme="minorHAnsi"/>
                <w:bCs/>
                <w:i/>
                <w:sz w:val="20"/>
                <w:szCs w:val="20"/>
                <w:lang w:eastAsia="en-GB"/>
              </w:rPr>
              <w:t>5</w:t>
            </w:r>
          </w:p>
        </w:tc>
      </w:tr>
      <w:tr w:rsidR="00DA54F3" w:rsidRPr="001B02FE" w14:paraId="721EAA97" w14:textId="77777777" w:rsidTr="00A535DB">
        <w:trPr>
          <w:trHeight w:val="289"/>
        </w:trPr>
        <w:tc>
          <w:tcPr>
            <w:tcW w:w="5529" w:type="dxa"/>
            <w:tcBorders>
              <w:top w:val="nil"/>
              <w:left w:val="nil"/>
              <w:right w:val="nil"/>
            </w:tcBorders>
            <w:shd w:val="clear" w:color="auto" w:fill="auto"/>
            <w:noWrap/>
            <w:vAlign w:val="center"/>
          </w:tcPr>
          <w:p w14:paraId="0FDA1613"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Finance cost</w:t>
            </w:r>
          </w:p>
        </w:tc>
        <w:tc>
          <w:tcPr>
            <w:tcW w:w="850" w:type="dxa"/>
            <w:tcBorders>
              <w:top w:val="nil"/>
              <w:left w:val="nil"/>
              <w:right w:val="nil"/>
            </w:tcBorders>
            <w:shd w:val="clear" w:color="auto" w:fill="auto"/>
            <w:noWrap/>
            <w:vAlign w:val="center"/>
          </w:tcPr>
          <w:p w14:paraId="3C8D9D43"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right w:val="nil"/>
            </w:tcBorders>
            <w:vAlign w:val="center"/>
          </w:tcPr>
          <w:p w14:paraId="1FD6DC53" w14:textId="77777777" w:rsidR="00DA54F3" w:rsidRPr="001B02FE" w:rsidRDefault="00DA54F3" w:rsidP="00A535DB">
            <w:pPr>
              <w:tabs>
                <w:tab w:val="decimal" w:pos="1451"/>
              </w:tabs>
              <w:spacing w:after="0" w:line="240" w:lineRule="auto"/>
              <w:ind w:right="-131"/>
              <w:jc w:val="both"/>
              <w:rPr>
                <w:rFonts w:eastAsia="Times New Roman" w:cstheme="minorHAnsi"/>
                <w:b/>
                <w:sz w:val="20"/>
                <w:szCs w:val="20"/>
                <w:lang w:eastAsia="en-GB"/>
              </w:rPr>
            </w:pPr>
            <w:r w:rsidRPr="001B02FE">
              <w:rPr>
                <w:rFonts w:eastAsia="Times New Roman" w:cstheme="minorHAnsi"/>
                <w:b/>
                <w:sz w:val="20"/>
                <w:szCs w:val="20"/>
                <w:lang w:eastAsia="en-GB"/>
              </w:rPr>
              <w:t>(23)</w:t>
            </w:r>
          </w:p>
        </w:tc>
        <w:tc>
          <w:tcPr>
            <w:tcW w:w="1692" w:type="dxa"/>
            <w:tcBorders>
              <w:top w:val="nil"/>
              <w:left w:val="nil"/>
              <w:right w:val="nil"/>
            </w:tcBorders>
            <w:shd w:val="clear" w:color="auto" w:fill="auto"/>
            <w:noWrap/>
            <w:vAlign w:val="center"/>
          </w:tcPr>
          <w:p w14:paraId="10CF0C7C" w14:textId="77777777" w:rsidR="00DA54F3" w:rsidRPr="001B02FE" w:rsidRDefault="00DA54F3" w:rsidP="00A535DB">
            <w:pPr>
              <w:tabs>
                <w:tab w:val="decimal" w:pos="1451"/>
              </w:tabs>
              <w:spacing w:after="0" w:line="240" w:lineRule="auto"/>
              <w:ind w:right="-131"/>
              <w:jc w:val="both"/>
              <w:rPr>
                <w:rFonts w:eastAsia="Times New Roman" w:cstheme="minorHAnsi"/>
                <w:bCs/>
                <w:sz w:val="20"/>
                <w:szCs w:val="20"/>
                <w:lang w:eastAsia="en-GB"/>
              </w:rPr>
            </w:pPr>
            <w:r w:rsidRPr="001B02FE">
              <w:rPr>
                <w:rFonts w:eastAsia="Times New Roman" w:cstheme="minorHAnsi"/>
                <w:bCs/>
                <w:sz w:val="20"/>
                <w:szCs w:val="20"/>
                <w:lang w:eastAsia="en-GB"/>
              </w:rPr>
              <w:t>-</w:t>
            </w:r>
          </w:p>
        </w:tc>
      </w:tr>
      <w:tr w:rsidR="00DA54F3" w:rsidRPr="001B02FE" w14:paraId="494828C2" w14:textId="77777777" w:rsidTr="00A535DB">
        <w:trPr>
          <w:trHeight w:val="289"/>
        </w:trPr>
        <w:tc>
          <w:tcPr>
            <w:tcW w:w="5529" w:type="dxa"/>
            <w:tcBorders>
              <w:top w:val="single" w:sz="4" w:space="0" w:color="auto"/>
              <w:left w:val="nil"/>
              <w:bottom w:val="nil"/>
              <w:right w:val="nil"/>
            </w:tcBorders>
            <w:shd w:val="clear" w:color="auto" w:fill="auto"/>
            <w:noWrap/>
            <w:vAlign w:val="center"/>
          </w:tcPr>
          <w:p w14:paraId="1D834FE1"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Loss before taxation</w:t>
            </w:r>
          </w:p>
        </w:tc>
        <w:tc>
          <w:tcPr>
            <w:tcW w:w="850" w:type="dxa"/>
            <w:tcBorders>
              <w:top w:val="single" w:sz="4" w:space="0" w:color="auto"/>
              <w:left w:val="nil"/>
              <w:bottom w:val="nil"/>
              <w:right w:val="nil"/>
            </w:tcBorders>
            <w:shd w:val="clear" w:color="auto" w:fill="auto"/>
            <w:noWrap/>
            <w:vAlign w:val="center"/>
          </w:tcPr>
          <w:p w14:paraId="519C294D"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single" w:sz="4" w:space="0" w:color="auto"/>
              <w:left w:val="nil"/>
              <w:bottom w:val="nil"/>
              <w:right w:val="nil"/>
            </w:tcBorders>
            <w:vAlign w:val="center"/>
          </w:tcPr>
          <w:p w14:paraId="6EE96282" w14:textId="77777777" w:rsidR="00DA54F3" w:rsidRPr="001B02FE" w:rsidRDefault="00DA54F3" w:rsidP="00A535DB">
            <w:pPr>
              <w:tabs>
                <w:tab w:val="decimal" w:pos="1451"/>
              </w:tabs>
              <w:spacing w:after="0" w:line="240" w:lineRule="auto"/>
              <w:ind w:right="-131"/>
              <w:jc w:val="both"/>
              <w:rPr>
                <w:rFonts w:eastAsia="Times New Roman" w:cstheme="minorHAnsi"/>
                <w:b/>
                <w:sz w:val="20"/>
                <w:szCs w:val="20"/>
                <w:lang w:eastAsia="en-GB"/>
              </w:rPr>
            </w:pPr>
            <w:r w:rsidRPr="001B02FE">
              <w:rPr>
                <w:rFonts w:eastAsia="Times New Roman" w:cstheme="minorHAnsi"/>
                <w:b/>
                <w:sz w:val="20"/>
                <w:szCs w:val="20"/>
                <w:lang w:eastAsia="en-GB"/>
              </w:rPr>
              <w:t>(5,064)</w:t>
            </w:r>
          </w:p>
        </w:tc>
        <w:tc>
          <w:tcPr>
            <w:tcW w:w="1692" w:type="dxa"/>
            <w:tcBorders>
              <w:top w:val="single" w:sz="4" w:space="0" w:color="auto"/>
              <w:left w:val="nil"/>
              <w:bottom w:val="nil"/>
              <w:right w:val="nil"/>
            </w:tcBorders>
            <w:shd w:val="clear" w:color="auto" w:fill="auto"/>
            <w:noWrap/>
            <w:vAlign w:val="center"/>
          </w:tcPr>
          <w:p w14:paraId="0A7518E1" w14:textId="77777777" w:rsidR="00DA54F3" w:rsidRPr="001B02FE" w:rsidRDefault="00DA54F3" w:rsidP="00A535DB">
            <w:pPr>
              <w:tabs>
                <w:tab w:val="decimal" w:pos="1451"/>
              </w:tabs>
              <w:spacing w:after="0" w:line="240" w:lineRule="auto"/>
              <w:ind w:right="-131"/>
              <w:jc w:val="both"/>
              <w:rPr>
                <w:rFonts w:eastAsia="Times New Roman" w:cstheme="minorHAnsi"/>
                <w:bCs/>
                <w:sz w:val="20"/>
                <w:szCs w:val="20"/>
                <w:lang w:eastAsia="en-GB"/>
              </w:rPr>
            </w:pPr>
            <w:r w:rsidRPr="001B02FE">
              <w:rPr>
                <w:rFonts w:eastAsia="Times New Roman" w:cstheme="minorHAnsi"/>
                <w:bCs/>
                <w:sz w:val="20"/>
                <w:szCs w:val="20"/>
                <w:lang w:eastAsia="en-GB"/>
              </w:rPr>
              <w:t>(5,990)</w:t>
            </w:r>
          </w:p>
        </w:tc>
      </w:tr>
      <w:tr w:rsidR="00DA54F3" w:rsidRPr="001B02FE" w14:paraId="7138B3E3" w14:textId="77777777" w:rsidTr="00A535DB">
        <w:trPr>
          <w:trHeight w:val="289"/>
        </w:trPr>
        <w:tc>
          <w:tcPr>
            <w:tcW w:w="5529" w:type="dxa"/>
            <w:tcBorders>
              <w:top w:val="nil"/>
              <w:left w:val="nil"/>
              <w:bottom w:val="single" w:sz="4" w:space="0" w:color="auto"/>
              <w:right w:val="nil"/>
            </w:tcBorders>
            <w:shd w:val="clear" w:color="auto" w:fill="auto"/>
            <w:noWrap/>
            <w:vAlign w:val="center"/>
          </w:tcPr>
          <w:p w14:paraId="70507D14"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Taxation</w:t>
            </w:r>
          </w:p>
        </w:tc>
        <w:tc>
          <w:tcPr>
            <w:tcW w:w="850" w:type="dxa"/>
            <w:tcBorders>
              <w:top w:val="nil"/>
              <w:left w:val="nil"/>
              <w:bottom w:val="single" w:sz="4" w:space="0" w:color="auto"/>
              <w:right w:val="nil"/>
            </w:tcBorders>
            <w:shd w:val="clear" w:color="auto" w:fill="auto"/>
            <w:noWrap/>
            <w:vAlign w:val="center"/>
          </w:tcPr>
          <w:p w14:paraId="5ADB69F7" w14:textId="62021B16" w:rsidR="00DA54F3" w:rsidRPr="001B02FE" w:rsidRDefault="00FA091D" w:rsidP="00A535DB">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6</w:t>
            </w:r>
          </w:p>
        </w:tc>
        <w:tc>
          <w:tcPr>
            <w:tcW w:w="1678" w:type="dxa"/>
            <w:tcBorders>
              <w:top w:val="nil"/>
              <w:left w:val="nil"/>
              <w:bottom w:val="single" w:sz="4" w:space="0" w:color="auto"/>
              <w:right w:val="nil"/>
            </w:tcBorders>
            <w:vAlign w:val="center"/>
          </w:tcPr>
          <w:p w14:paraId="2E7D12C1" w14:textId="77777777" w:rsidR="00DA54F3" w:rsidRPr="001B02FE" w:rsidRDefault="00DA54F3" w:rsidP="00A535DB">
            <w:pPr>
              <w:tabs>
                <w:tab w:val="decimal" w:pos="1451"/>
              </w:tabs>
              <w:spacing w:after="0" w:line="240" w:lineRule="auto"/>
              <w:ind w:right="-131"/>
              <w:jc w:val="both"/>
              <w:rPr>
                <w:rFonts w:eastAsia="Times New Roman" w:cstheme="minorHAnsi"/>
                <w:b/>
                <w:sz w:val="20"/>
                <w:szCs w:val="20"/>
                <w:lang w:eastAsia="en-GB"/>
              </w:rPr>
            </w:pPr>
            <w:r w:rsidRPr="001B02FE">
              <w:rPr>
                <w:rFonts w:eastAsia="Times New Roman" w:cstheme="minorHAnsi"/>
                <w:b/>
                <w:sz w:val="20"/>
                <w:szCs w:val="20"/>
                <w:lang w:eastAsia="en-GB"/>
              </w:rPr>
              <w:t>(554)</w:t>
            </w:r>
          </w:p>
        </w:tc>
        <w:tc>
          <w:tcPr>
            <w:tcW w:w="1692" w:type="dxa"/>
            <w:tcBorders>
              <w:top w:val="nil"/>
              <w:left w:val="nil"/>
              <w:bottom w:val="single" w:sz="4" w:space="0" w:color="auto"/>
              <w:right w:val="nil"/>
            </w:tcBorders>
            <w:shd w:val="clear" w:color="auto" w:fill="auto"/>
            <w:noWrap/>
            <w:vAlign w:val="center"/>
          </w:tcPr>
          <w:p w14:paraId="0F4550C8" w14:textId="77777777" w:rsidR="00DA54F3" w:rsidRPr="001B02FE" w:rsidRDefault="00DA54F3" w:rsidP="00A535DB">
            <w:pPr>
              <w:tabs>
                <w:tab w:val="decimal" w:pos="1451"/>
              </w:tabs>
              <w:spacing w:after="0" w:line="240" w:lineRule="auto"/>
              <w:ind w:right="-131"/>
              <w:jc w:val="both"/>
              <w:rPr>
                <w:rFonts w:eastAsia="Times New Roman" w:cstheme="minorHAnsi"/>
                <w:bCs/>
                <w:sz w:val="20"/>
                <w:szCs w:val="20"/>
                <w:lang w:eastAsia="en-GB"/>
              </w:rPr>
            </w:pPr>
            <w:r w:rsidRPr="001B02FE">
              <w:rPr>
                <w:rFonts w:eastAsia="Times New Roman" w:cstheme="minorHAnsi"/>
                <w:bCs/>
                <w:sz w:val="20"/>
                <w:szCs w:val="20"/>
                <w:lang w:eastAsia="en-GB"/>
              </w:rPr>
              <w:t>115</w:t>
            </w:r>
          </w:p>
        </w:tc>
      </w:tr>
      <w:tr w:rsidR="00DA54F3" w:rsidRPr="001B02FE" w14:paraId="3E3658C6" w14:textId="77777777" w:rsidTr="00A535DB">
        <w:trPr>
          <w:trHeight w:val="289"/>
        </w:trPr>
        <w:tc>
          <w:tcPr>
            <w:tcW w:w="5529" w:type="dxa"/>
            <w:tcBorders>
              <w:top w:val="single" w:sz="4" w:space="0" w:color="auto"/>
              <w:left w:val="nil"/>
              <w:right w:val="nil"/>
            </w:tcBorders>
            <w:shd w:val="clear" w:color="auto" w:fill="auto"/>
            <w:noWrap/>
            <w:vAlign w:val="center"/>
          </w:tcPr>
          <w:p w14:paraId="275A0440"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b/>
                <w:bCs/>
                <w:sz w:val="20"/>
                <w:szCs w:val="20"/>
                <w:lang w:eastAsia="en-GB"/>
              </w:rPr>
              <w:t>Loss for the year</w:t>
            </w:r>
          </w:p>
        </w:tc>
        <w:tc>
          <w:tcPr>
            <w:tcW w:w="850" w:type="dxa"/>
            <w:tcBorders>
              <w:top w:val="single" w:sz="4" w:space="0" w:color="auto"/>
              <w:left w:val="nil"/>
              <w:right w:val="nil"/>
            </w:tcBorders>
            <w:shd w:val="clear" w:color="auto" w:fill="auto"/>
            <w:noWrap/>
            <w:vAlign w:val="center"/>
          </w:tcPr>
          <w:p w14:paraId="4361DD99"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single" w:sz="4" w:space="0" w:color="auto"/>
              <w:left w:val="nil"/>
              <w:right w:val="nil"/>
            </w:tcBorders>
            <w:vAlign w:val="center"/>
          </w:tcPr>
          <w:p w14:paraId="1C7F01F6" w14:textId="77777777" w:rsidR="00DA54F3" w:rsidRPr="001B02FE" w:rsidRDefault="00DA54F3" w:rsidP="00A535DB">
            <w:pPr>
              <w:tabs>
                <w:tab w:val="decimal" w:pos="1451"/>
              </w:tabs>
              <w:spacing w:after="0" w:line="240" w:lineRule="auto"/>
              <w:ind w:right="-131"/>
              <w:jc w:val="both"/>
              <w:rPr>
                <w:rFonts w:eastAsia="Times New Roman" w:cstheme="minorHAnsi"/>
                <w:b/>
                <w:sz w:val="20"/>
                <w:szCs w:val="20"/>
                <w:lang w:eastAsia="en-GB"/>
              </w:rPr>
            </w:pPr>
            <w:r w:rsidRPr="001B02FE">
              <w:rPr>
                <w:rFonts w:eastAsia="Times New Roman" w:cstheme="minorHAnsi"/>
                <w:b/>
                <w:sz w:val="20"/>
                <w:szCs w:val="20"/>
                <w:lang w:eastAsia="en-GB"/>
              </w:rPr>
              <w:t>(5,618)</w:t>
            </w:r>
          </w:p>
        </w:tc>
        <w:tc>
          <w:tcPr>
            <w:tcW w:w="1692" w:type="dxa"/>
            <w:tcBorders>
              <w:top w:val="single" w:sz="4" w:space="0" w:color="auto"/>
              <w:left w:val="nil"/>
              <w:right w:val="nil"/>
            </w:tcBorders>
            <w:shd w:val="clear" w:color="auto" w:fill="auto"/>
            <w:noWrap/>
            <w:vAlign w:val="center"/>
          </w:tcPr>
          <w:p w14:paraId="4F7B09DE" w14:textId="77777777" w:rsidR="00DA54F3" w:rsidRPr="001B02FE" w:rsidRDefault="00DA54F3" w:rsidP="00A535DB">
            <w:pPr>
              <w:tabs>
                <w:tab w:val="decimal" w:pos="1451"/>
              </w:tabs>
              <w:spacing w:after="0" w:line="240" w:lineRule="auto"/>
              <w:ind w:right="-131"/>
              <w:jc w:val="both"/>
              <w:rPr>
                <w:rFonts w:eastAsia="Times New Roman" w:cstheme="minorHAnsi"/>
                <w:bCs/>
                <w:sz w:val="20"/>
                <w:szCs w:val="20"/>
                <w:lang w:eastAsia="en-GB"/>
              </w:rPr>
            </w:pPr>
            <w:r w:rsidRPr="001B02FE">
              <w:rPr>
                <w:rFonts w:eastAsia="Times New Roman" w:cstheme="minorHAnsi"/>
                <w:bCs/>
                <w:sz w:val="20"/>
                <w:szCs w:val="20"/>
                <w:lang w:eastAsia="en-GB"/>
              </w:rPr>
              <w:t>(5,875)</w:t>
            </w:r>
          </w:p>
        </w:tc>
      </w:tr>
      <w:tr w:rsidR="00DA54F3" w:rsidRPr="001B02FE" w14:paraId="519C7C1B" w14:textId="77777777" w:rsidTr="00A535DB">
        <w:trPr>
          <w:trHeight w:val="289"/>
        </w:trPr>
        <w:tc>
          <w:tcPr>
            <w:tcW w:w="5529" w:type="dxa"/>
            <w:tcBorders>
              <w:left w:val="nil"/>
              <w:bottom w:val="nil"/>
              <w:right w:val="nil"/>
            </w:tcBorders>
            <w:shd w:val="clear" w:color="auto" w:fill="auto"/>
            <w:noWrap/>
            <w:vAlign w:val="center"/>
          </w:tcPr>
          <w:p w14:paraId="45F87693" w14:textId="77777777" w:rsidR="00DA54F3" w:rsidRPr="001B02FE" w:rsidRDefault="00DA54F3" w:rsidP="00A535DB">
            <w:pPr>
              <w:spacing w:after="0" w:line="240" w:lineRule="auto"/>
              <w:rPr>
                <w:rFonts w:eastAsia="Times New Roman" w:cstheme="minorHAnsi"/>
                <w:sz w:val="20"/>
                <w:szCs w:val="20"/>
                <w:lang w:eastAsia="en-GB"/>
              </w:rPr>
            </w:pPr>
          </w:p>
        </w:tc>
        <w:tc>
          <w:tcPr>
            <w:tcW w:w="850" w:type="dxa"/>
            <w:tcBorders>
              <w:left w:val="nil"/>
              <w:bottom w:val="nil"/>
              <w:right w:val="nil"/>
            </w:tcBorders>
            <w:shd w:val="clear" w:color="auto" w:fill="auto"/>
            <w:noWrap/>
            <w:vAlign w:val="center"/>
          </w:tcPr>
          <w:p w14:paraId="67E9CCA7"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left w:val="nil"/>
              <w:bottom w:val="nil"/>
              <w:right w:val="nil"/>
            </w:tcBorders>
            <w:vAlign w:val="center"/>
          </w:tcPr>
          <w:p w14:paraId="0F5D080D" w14:textId="77777777" w:rsidR="00DA54F3" w:rsidRPr="001B02FE" w:rsidRDefault="00DA54F3" w:rsidP="00A535DB">
            <w:pPr>
              <w:spacing w:after="0" w:line="240" w:lineRule="auto"/>
              <w:jc w:val="right"/>
              <w:rPr>
                <w:rFonts w:eastAsia="Times New Roman" w:cstheme="minorHAnsi"/>
                <w:b/>
                <w:sz w:val="20"/>
                <w:szCs w:val="20"/>
                <w:lang w:eastAsia="en-GB"/>
              </w:rPr>
            </w:pPr>
          </w:p>
        </w:tc>
        <w:tc>
          <w:tcPr>
            <w:tcW w:w="1692" w:type="dxa"/>
            <w:tcBorders>
              <w:left w:val="nil"/>
              <w:bottom w:val="nil"/>
              <w:right w:val="nil"/>
            </w:tcBorders>
            <w:shd w:val="clear" w:color="auto" w:fill="auto"/>
            <w:noWrap/>
            <w:vAlign w:val="center"/>
          </w:tcPr>
          <w:p w14:paraId="7F0A84FB" w14:textId="77777777" w:rsidR="00DA54F3" w:rsidRPr="001B02FE" w:rsidRDefault="00DA54F3" w:rsidP="00A535DB">
            <w:pPr>
              <w:spacing w:after="0" w:line="240" w:lineRule="auto"/>
              <w:jc w:val="right"/>
              <w:rPr>
                <w:rFonts w:eastAsia="Times New Roman" w:cstheme="minorHAnsi"/>
                <w:bCs/>
                <w:sz w:val="20"/>
                <w:szCs w:val="20"/>
                <w:lang w:eastAsia="en-GB"/>
              </w:rPr>
            </w:pPr>
          </w:p>
        </w:tc>
      </w:tr>
      <w:tr w:rsidR="00DA54F3" w:rsidRPr="001B02FE" w14:paraId="6C18B387" w14:textId="77777777" w:rsidTr="00A535DB">
        <w:trPr>
          <w:trHeight w:val="289"/>
        </w:trPr>
        <w:tc>
          <w:tcPr>
            <w:tcW w:w="5529" w:type="dxa"/>
            <w:tcBorders>
              <w:top w:val="nil"/>
              <w:left w:val="nil"/>
              <w:bottom w:val="nil"/>
              <w:right w:val="nil"/>
            </w:tcBorders>
            <w:shd w:val="clear" w:color="auto" w:fill="auto"/>
            <w:noWrap/>
            <w:vAlign w:val="center"/>
          </w:tcPr>
          <w:p w14:paraId="7B51F970"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Other comprehensive income</w:t>
            </w:r>
          </w:p>
        </w:tc>
        <w:tc>
          <w:tcPr>
            <w:tcW w:w="850" w:type="dxa"/>
            <w:tcBorders>
              <w:top w:val="nil"/>
              <w:left w:val="nil"/>
              <w:bottom w:val="nil"/>
              <w:right w:val="nil"/>
            </w:tcBorders>
            <w:shd w:val="clear" w:color="auto" w:fill="auto"/>
            <w:noWrap/>
            <w:vAlign w:val="center"/>
          </w:tcPr>
          <w:p w14:paraId="12DB3188"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bottom w:val="nil"/>
              <w:right w:val="nil"/>
            </w:tcBorders>
            <w:vAlign w:val="center"/>
          </w:tcPr>
          <w:p w14:paraId="7E07DAFC" w14:textId="77777777" w:rsidR="00DA54F3" w:rsidRPr="001B02FE" w:rsidRDefault="00DA54F3" w:rsidP="00A535DB">
            <w:pPr>
              <w:spacing w:after="0" w:line="240" w:lineRule="auto"/>
              <w:jc w:val="right"/>
              <w:rPr>
                <w:rFonts w:eastAsia="Times New Roman" w:cstheme="minorHAnsi"/>
                <w:b/>
                <w:sz w:val="20"/>
                <w:szCs w:val="20"/>
                <w:lang w:eastAsia="en-GB"/>
              </w:rPr>
            </w:pPr>
          </w:p>
        </w:tc>
        <w:tc>
          <w:tcPr>
            <w:tcW w:w="1692" w:type="dxa"/>
            <w:tcBorders>
              <w:top w:val="nil"/>
              <w:left w:val="nil"/>
              <w:bottom w:val="nil"/>
              <w:right w:val="nil"/>
            </w:tcBorders>
            <w:shd w:val="clear" w:color="auto" w:fill="auto"/>
            <w:noWrap/>
            <w:vAlign w:val="center"/>
          </w:tcPr>
          <w:p w14:paraId="0E68F8AD" w14:textId="77777777" w:rsidR="00DA54F3" w:rsidRPr="001B02FE" w:rsidRDefault="00DA54F3" w:rsidP="00A535DB">
            <w:pPr>
              <w:spacing w:after="0" w:line="240" w:lineRule="auto"/>
              <w:jc w:val="right"/>
              <w:rPr>
                <w:rFonts w:eastAsia="Times New Roman" w:cstheme="minorHAnsi"/>
                <w:bCs/>
                <w:sz w:val="20"/>
                <w:szCs w:val="20"/>
                <w:lang w:eastAsia="en-GB"/>
              </w:rPr>
            </w:pPr>
          </w:p>
        </w:tc>
      </w:tr>
      <w:tr w:rsidR="00DA54F3" w:rsidRPr="001B02FE" w14:paraId="600D743C" w14:textId="77777777" w:rsidTr="00A535DB">
        <w:trPr>
          <w:trHeight w:val="289"/>
        </w:trPr>
        <w:tc>
          <w:tcPr>
            <w:tcW w:w="5529" w:type="dxa"/>
            <w:tcBorders>
              <w:top w:val="nil"/>
              <w:left w:val="nil"/>
              <w:right w:val="nil"/>
            </w:tcBorders>
            <w:shd w:val="clear" w:color="auto" w:fill="auto"/>
            <w:noWrap/>
            <w:vAlign w:val="center"/>
          </w:tcPr>
          <w:p w14:paraId="0AAC221B"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 xml:space="preserve">Cash flow hedges </w:t>
            </w:r>
          </w:p>
        </w:tc>
        <w:tc>
          <w:tcPr>
            <w:tcW w:w="850" w:type="dxa"/>
            <w:tcBorders>
              <w:top w:val="nil"/>
              <w:left w:val="nil"/>
              <w:right w:val="nil"/>
            </w:tcBorders>
            <w:shd w:val="clear" w:color="auto" w:fill="auto"/>
            <w:noWrap/>
            <w:vAlign w:val="center"/>
          </w:tcPr>
          <w:p w14:paraId="08A51431"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right w:val="nil"/>
            </w:tcBorders>
            <w:vAlign w:val="center"/>
          </w:tcPr>
          <w:p w14:paraId="40045FFC" w14:textId="77777777" w:rsidR="00DA54F3" w:rsidRPr="001B02FE" w:rsidRDefault="00DA54F3" w:rsidP="00A535DB">
            <w:pPr>
              <w:spacing w:after="0" w:line="240" w:lineRule="auto"/>
              <w:jc w:val="right"/>
              <w:rPr>
                <w:rFonts w:eastAsia="Times New Roman" w:cstheme="minorHAnsi"/>
                <w:b/>
                <w:sz w:val="20"/>
                <w:szCs w:val="20"/>
                <w:lang w:eastAsia="en-GB"/>
              </w:rPr>
            </w:pPr>
            <w:r w:rsidRPr="001B02FE">
              <w:rPr>
                <w:rFonts w:eastAsia="Times New Roman" w:cstheme="minorHAnsi"/>
                <w:b/>
                <w:sz w:val="20"/>
                <w:szCs w:val="20"/>
                <w:lang w:eastAsia="en-GB"/>
              </w:rPr>
              <w:t>(181)</w:t>
            </w:r>
          </w:p>
        </w:tc>
        <w:tc>
          <w:tcPr>
            <w:tcW w:w="1692" w:type="dxa"/>
            <w:tcBorders>
              <w:top w:val="nil"/>
              <w:left w:val="nil"/>
              <w:right w:val="nil"/>
            </w:tcBorders>
            <w:shd w:val="clear" w:color="auto" w:fill="auto"/>
            <w:noWrap/>
            <w:vAlign w:val="center"/>
          </w:tcPr>
          <w:p w14:paraId="02E32BA1" w14:textId="77777777" w:rsidR="00DA54F3" w:rsidRPr="001B02FE" w:rsidRDefault="00DA54F3" w:rsidP="00A535DB">
            <w:pPr>
              <w:spacing w:after="0" w:line="240" w:lineRule="auto"/>
              <w:jc w:val="right"/>
              <w:rPr>
                <w:rFonts w:eastAsia="Times New Roman" w:cstheme="minorHAnsi"/>
                <w:bCs/>
                <w:sz w:val="20"/>
                <w:szCs w:val="20"/>
                <w:lang w:eastAsia="en-GB"/>
              </w:rPr>
            </w:pPr>
            <w:r w:rsidRPr="001B02FE">
              <w:rPr>
                <w:rFonts w:eastAsia="Times New Roman" w:cstheme="minorHAnsi"/>
                <w:bCs/>
                <w:sz w:val="20"/>
                <w:szCs w:val="20"/>
                <w:lang w:eastAsia="en-GB"/>
              </w:rPr>
              <w:t>-</w:t>
            </w:r>
          </w:p>
        </w:tc>
      </w:tr>
      <w:tr w:rsidR="00DA54F3" w:rsidRPr="001B02FE" w14:paraId="36B3D139" w14:textId="77777777" w:rsidTr="00A535DB">
        <w:trPr>
          <w:trHeight w:val="289"/>
        </w:trPr>
        <w:tc>
          <w:tcPr>
            <w:tcW w:w="5529" w:type="dxa"/>
            <w:tcBorders>
              <w:top w:val="nil"/>
              <w:left w:val="nil"/>
              <w:right w:val="nil"/>
            </w:tcBorders>
            <w:shd w:val="clear" w:color="auto" w:fill="auto"/>
            <w:noWrap/>
            <w:vAlign w:val="center"/>
          </w:tcPr>
          <w:p w14:paraId="7F311D34"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Exchange differences on translation of foreign operations</w:t>
            </w:r>
          </w:p>
        </w:tc>
        <w:tc>
          <w:tcPr>
            <w:tcW w:w="850" w:type="dxa"/>
            <w:tcBorders>
              <w:top w:val="nil"/>
              <w:left w:val="nil"/>
              <w:right w:val="nil"/>
            </w:tcBorders>
            <w:shd w:val="clear" w:color="auto" w:fill="auto"/>
            <w:noWrap/>
            <w:vAlign w:val="center"/>
          </w:tcPr>
          <w:p w14:paraId="1A3A4AF4"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right w:val="nil"/>
            </w:tcBorders>
            <w:vAlign w:val="center"/>
          </w:tcPr>
          <w:p w14:paraId="495A3E3E" w14:textId="77777777" w:rsidR="00DA54F3" w:rsidRPr="001B02FE" w:rsidRDefault="00DA54F3" w:rsidP="00A535DB">
            <w:pPr>
              <w:tabs>
                <w:tab w:val="decimal" w:pos="1451"/>
              </w:tabs>
              <w:spacing w:after="0" w:line="240" w:lineRule="auto"/>
              <w:ind w:right="-130"/>
              <w:jc w:val="both"/>
              <w:rPr>
                <w:rFonts w:eastAsia="Times New Roman" w:cstheme="minorHAnsi"/>
                <w:b/>
                <w:sz w:val="20"/>
                <w:szCs w:val="20"/>
                <w:lang w:val="en-US" w:eastAsia="en-GB"/>
              </w:rPr>
            </w:pPr>
            <w:r w:rsidRPr="001B02FE">
              <w:rPr>
                <w:rFonts w:eastAsia="Times New Roman" w:cstheme="minorHAnsi"/>
                <w:b/>
                <w:sz w:val="20"/>
                <w:szCs w:val="20"/>
                <w:lang w:val="en-US" w:eastAsia="en-GB"/>
              </w:rPr>
              <w:t>67</w:t>
            </w:r>
          </w:p>
        </w:tc>
        <w:tc>
          <w:tcPr>
            <w:tcW w:w="1692" w:type="dxa"/>
            <w:tcBorders>
              <w:top w:val="nil"/>
              <w:left w:val="nil"/>
              <w:right w:val="nil"/>
            </w:tcBorders>
            <w:shd w:val="clear" w:color="auto" w:fill="auto"/>
            <w:noWrap/>
            <w:vAlign w:val="center"/>
          </w:tcPr>
          <w:p w14:paraId="2612B4EE" w14:textId="77777777" w:rsidR="00DA54F3" w:rsidRPr="001B02FE" w:rsidRDefault="00DA54F3" w:rsidP="00A535DB">
            <w:pPr>
              <w:tabs>
                <w:tab w:val="decimal" w:pos="1451"/>
              </w:tabs>
              <w:spacing w:after="0" w:line="240" w:lineRule="auto"/>
              <w:ind w:right="-130"/>
              <w:jc w:val="both"/>
              <w:rPr>
                <w:rFonts w:eastAsia="Times New Roman" w:cstheme="minorHAnsi"/>
                <w:bCs/>
                <w:sz w:val="20"/>
                <w:szCs w:val="20"/>
                <w:lang w:val="en-US" w:eastAsia="en-GB"/>
              </w:rPr>
            </w:pPr>
            <w:r w:rsidRPr="001B02FE">
              <w:rPr>
                <w:rFonts w:eastAsia="Times New Roman" w:cstheme="minorHAnsi"/>
                <w:bCs/>
                <w:sz w:val="20"/>
                <w:szCs w:val="20"/>
                <w:lang w:val="en-US" w:eastAsia="en-GB"/>
              </w:rPr>
              <w:t>(125)</w:t>
            </w:r>
          </w:p>
        </w:tc>
      </w:tr>
      <w:tr w:rsidR="00DA54F3" w:rsidRPr="001B02FE" w14:paraId="76D0111A" w14:textId="77777777" w:rsidTr="00A535DB">
        <w:trPr>
          <w:trHeight w:val="289"/>
        </w:trPr>
        <w:tc>
          <w:tcPr>
            <w:tcW w:w="5529" w:type="dxa"/>
            <w:tcBorders>
              <w:left w:val="nil"/>
              <w:bottom w:val="single" w:sz="4" w:space="0" w:color="auto"/>
              <w:right w:val="nil"/>
            </w:tcBorders>
            <w:shd w:val="clear" w:color="auto" w:fill="auto"/>
            <w:noWrap/>
            <w:vAlign w:val="center"/>
          </w:tcPr>
          <w:p w14:paraId="2B6E4B7A"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Income tax relating to these items</w:t>
            </w:r>
          </w:p>
        </w:tc>
        <w:tc>
          <w:tcPr>
            <w:tcW w:w="850" w:type="dxa"/>
            <w:tcBorders>
              <w:left w:val="nil"/>
              <w:bottom w:val="single" w:sz="4" w:space="0" w:color="auto"/>
              <w:right w:val="nil"/>
            </w:tcBorders>
            <w:shd w:val="clear" w:color="auto" w:fill="auto"/>
            <w:noWrap/>
            <w:vAlign w:val="center"/>
          </w:tcPr>
          <w:p w14:paraId="41526402"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left w:val="nil"/>
              <w:bottom w:val="single" w:sz="4" w:space="0" w:color="auto"/>
              <w:right w:val="nil"/>
            </w:tcBorders>
            <w:vAlign w:val="center"/>
          </w:tcPr>
          <w:p w14:paraId="10D36EA8" w14:textId="77777777" w:rsidR="00DA54F3" w:rsidRPr="001B02FE" w:rsidRDefault="00DA54F3" w:rsidP="00A535DB">
            <w:pPr>
              <w:tabs>
                <w:tab w:val="decimal" w:pos="1451"/>
              </w:tabs>
              <w:spacing w:after="0" w:line="240" w:lineRule="auto"/>
              <w:ind w:right="-130"/>
              <w:jc w:val="both"/>
              <w:rPr>
                <w:rFonts w:eastAsia="Times New Roman" w:cstheme="minorHAnsi"/>
                <w:b/>
                <w:sz w:val="20"/>
                <w:szCs w:val="20"/>
                <w:lang w:val="en-US" w:eastAsia="en-GB"/>
              </w:rPr>
            </w:pPr>
            <w:r w:rsidRPr="001B02FE">
              <w:rPr>
                <w:rFonts w:eastAsia="Times New Roman" w:cstheme="minorHAnsi"/>
                <w:b/>
                <w:sz w:val="20"/>
                <w:szCs w:val="20"/>
                <w:lang w:val="en-US" w:eastAsia="en-GB"/>
              </w:rPr>
              <w:t>33</w:t>
            </w:r>
          </w:p>
        </w:tc>
        <w:tc>
          <w:tcPr>
            <w:tcW w:w="1692" w:type="dxa"/>
            <w:tcBorders>
              <w:left w:val="nil"/>
              <w:bottom w:val="single" w:sz="4" w:space="0" w:color="auto"/>
              <w:right w:val="nil"/>
            </w:tcBorders>
            <w:shd w:val="clear" w:color="auto" w:fill="auto"/>
            <w:noWrap/>
            <w:vAlign w:val="center"/>
          </w:tcPr>
          <w:p w14:paraId="1A48D2EA" w14:textId="77777777" w:rsidR="00DA54F3" w:rsidRPr="001B02FE" w:rsidRDefault="00DA54F3" w:rsidP="00A535DB">
            <w:pPr>
              <w:tabs>
                <w:tab w:val="decimal" w:pos="1451"/>
              </w:tabs>
              <w:spacing w:after="0" w:line="240" w:lineRule="auto"/>
              <w:ind w:right="-130"/>
              <w:jc w:val="both"/>
              <w:rPr>
                <w:rFonts w:eastAsia="Times New Roman" w:cstheme="minorHAnsi"/>
                <w:bCs/>
                <w:sz w:val="20"/>
                <w:szCs w:val="20"/>
                <w:lang w:val="en-US" w:eastAsia="en-GB"/>
              </w:rPr>
            </w:pPr>
            <w:r w:rsidRPr="001B02FE">
              <w:rPr>
                <w:rFonts w:eastAsia="Times New Roman" w:cstheme="minorHAnsi"/>
                <w:bCs/>
                <w:sz w:val="20"/>
                <w:szCs w:val="20"/>
                <w:lang w:val="en-US" w:eastAsia="en-GB"/>
              </w:rPr>
              <w:t>-</w:t>
            </w:r>
          </w:p>
        </w:tc>
      </w:tr>
      <w:tr w:rsidR="00DA54F3" w:rsidRPr="001B02FE" w14:paraId="642BE3BA" w14:textId="77777777" w:rsidTr="00A535DB">
        <w:trPr>
          <w:trHeight w:val="289"/>
        </w:trPr>
        <w:tc>
          <w:tcPr>
            <w:tcW w:w="5529" w:type="dxa"/>
            <w:tcBorders>
              <w:top w:val="single" w:sz="4" w:space="0" w:color="auto"/>
              <w:left w:val="nil"/>
              <w:bottom w:val="single" w:sz="12" w:space="0" w:color="auto"/>
              <w:right w:val="nil"/>
            </w:tcBorders>
            <w:shd w:val="clear" w:color="auto" w:fill="auto"/>
            <w:noWrap/>
            <w:vAlign w:val="center"/>
          </w:tcPr>
          <w:p w14:paraId="272D1832" w14:textId="77777777" w:rsidR="00DA54F3" w:rsidRPr="001B02FE" w:rsidRDefault="00DA54F3" w:rsidP="00A535DB">
            <w:pPr>
              <w:spacing w:after="0" w:line="240" w:lineRule="auto"/>
              <w:rPr>
                <w:rFonts w:eastAsia="Times New Roman" w:cstheme="minorHAnsi"/>
                <w:b/>
                <w:sz w:val="20"/>
                <w:szCs w:val="20"/>
                <w:lang w:eastAsia="en-GB"/>
              </w:rPr>
            </w:pPr>
            <w:r w:rsidRPr="001B02FE">
              <w:rPr>
                <w:rFonts w:eastAsia="Times New Roman" w:cstheme="minorHAnsi"/>
                <w:b/>
                <w:sz w:val="20"/>
                <w:szCs w:val="20"/>
                <w:lang w:eastAsia="en-GB"/>
              </w:rPr>
              <w:t>Total comprehensive loss for the year</w:t>
            </w:r>
          </w:p>
        </w:tc>
        <w:tc>
          <w:tcPr>
            <w:tcW w:w="850" w:type="dxa"/>
            <w:tcBorders>
              <w:top w:val="single" w:sz="4" w:space="0" w:color="auto"/>
              <w:left w:val="nil"/>
              <w:bottom w:val="single" w:sz="12" w:space="0" w:color="auto"/>
              <w:right w:val="nil"/>
            </w:tcBorders>
            <w:shd w:val="clear" w:color="auto" w:fill="auto"/>
            <w:noWrap/>
            <w:vAlign w:val="center"/>
          </w:tcPr>
          <w:p w14:paraId="0805F27C"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single" w:sz="4" w:space="0" w:color="auto"/>
              <w:left w:val="nil"/>
              <w:bottom w:val="single" w:sz="12" w:space="0" w:color="auto"/>
              <w:right w:val="nil"/>
            </w:tcBorders>
            <w:vAlign w:val="center"/>
          </w:tcPr>
          <w:p w14:paraId="67343AFD" w14:textId="77777777" w:rsidR="00DA54F3" w:rsidRPr="001B02FE" w:rsidRDefault="00DA54F3" w:rsidP="00A535DB">
            <w:pPr>
              <w:tabs>
                <w:tab w:val="decimal" w:pos="1451"/>
              </w:tabs>
              <w:spacing w:after="0" w:line="240" w:lineRule="auto"/>
              <w:ind w:right="-130"/>
              <w:jc w:val="both"/>
              <w:rPr>
                <w:rFonts w:eastAsia="Times New Roman" w:cstheme="minorHAnsi"/>
                <w:b/>
                <w:sz w:val="20"/>
                <w:szCs w:val="20"/>
                <w:lang w:val="en-US" w:eastAsia="en-GB"/>
              </w:rPr>
            </w:pPr>
            <w:r w:rsidRPr="001B02FE">
              <w:rPr>
                <w:rFonts w:eastAsia="Times New Roman" w:cstheme="minorHAnsi"/>
                <w:b/>
                <w:sz w:val="20"/>
                <w:szCs w:val="20"/>
                <w:lang w:val="en-US" w:eastAsia="en-GB"/>
              </w:rPr>
              <w:t>(5,699)</w:t>
            </w:r>
          </w:p>
        </w:tc>
        <w:tc>
          <w:tcPr>
            <w:tcW w:w="1692" w:type="dxa"/>
            <w:tcBorders>
              <w:top w:val="single" w:sz="4" w:space="0" w:color="auto"/>
              <w:left w:val="nil"/>
              <w:bottom w:val="single" w:sz="12" w:space="0" w:color="auto"/>
              <w:right w:val="nil"/>
            </w:tcBorders>
            <w:shd w:val="clear" w:color="auto" w:fill="auto"/>
            <w:noWrap/>
            <w:vAlign w:val="center"/>
          </w:tcPr>
          <w:p w14:paraId="59C7E1BD" w14:textId="77777777" w:rsidR="00DA54F3" w:rsidRPr="001B02FE" w:rsidRDefault="00DA54F3" w:rsidP="00A535DB">
            <w:pPr>
              <w:tabs>
                <w:tab w:val="decimal" w:pos="1451"/>
              </w:tabs>
              <w:spacing w:after="0" w:line="240" w:lineRule="auto"/>
              <w:ind w:right="-130"/>
              <w:jc w:val="both"/>
              <w:rPr>
                <w:rFonts w:eastAsia="Times New Roman" w:cstheme="minorHAnsi"/>
                <w:bCs/>
                <w:sz w:val="20"/>
                <w:szCs w:val="20"/>
                <w:lang w:val="en-US" w:eastAsia="en-GB"/>
              </w:rPr>
            </w:pPr>
            <w:r w:rsidRPr="001B02FE">
              <w:rPr>
                <w:rFonts w:eastAsia="Times New Roman" w:cstheme="minorHAnsi"/>
                <w:bCs/>
                <w:sz w:val="20"/>
                <w:szCs w:val="20"/>
                <w:lang w:val="en-US" w:eastAsia="en-GB"/>
              </w:rPr>
              <w:t>(6,000)</w:t>
            </w:r>
          </w:p>
        </w:tc>
      </w:tr>
    </w:tbl>
    <w:p w14:paraId="02CC4F22" w14:textId="77777777" w:rsidR="00DA54F3" w:rsidRPr="001B02FE" w:rsidRDefault="00DA54F3" w:rsidP="00DA54F3">
      <w:pPr>
        <w:pStyle w:val="bulls"/>
        <w:ind w:left="0" w:firstLine="0"/>
        <w:rPr>
          <w:rFonts w:asciiTheme="minorHAnsi" w:hAnsiTheme="minorHAnsi" w:cstheme="minorHAnsi"/>
        </w:rPr>
      </w:pPr>
    </w:p>
    <w:tbl>
      <w:tblPr>
        <w:tblW w:w="9749" w:type="dxa"/>
        <w:tblInd w:w="108" w:type="dxa"/>
        <w:tblLayout w:type="fixed"/>
        <w:tblLook w:val="0000" w:firstRow="0" w:lastRow="0" w:firstColumn="0" w:lastColumn="0" w:noHBand="0" w:noVBand="0"/>
      </w:tblPr>
      <w:tblGrid>
        <w:gridCol w:w="5529"/>
        <w:gridCol w:w="850"/>
        <w:gridCol w:w="1678"/>
        <w:gridCol w:w="1692"/>
      </w:tblGrid>
      <w:tr w:rsidR="00DA54F3" w:rsidRPr="001B02FE" w14:paraId="2A88064A" w14:textId="77777777" w:rsidTr="00A535DB">
        <w:trPr>
          <w:trHeight w:val="289"/>
        </w:trPr>
        <w:tc>
          <w:tcPr>
            <w:tcW w:w="5529" w:type="dxa"/>
            <w:tcBorders>
              <w:top w:val="nil"/>
              <w:left w:val="nil"/>
              <w:right w:val="nil"/>
            </w:tcBorders>
            <w:shd w:val="clear" w:color="auto" w:fill="auto"/>
            <w:noWrap/>
            <w:vAlign w:val="center"/>
          </w:tcPr>
          <w:p w14:paraId="730488CA" w14:textId="77777777" w:rsidR="00DA54F3" w:rsidRPr="001B02FE" w:rsidRDefault="00DA54F3" w:rsidP="00A535DB">
            <w:pPr>
              <w:spacing w:after="0" w:line="240" w:lineRule="auto"/>
              <w:rPr>
                <w:rFonts w:eastAsia="Times New Roman" w:cstheme="minorHAnsi"/>
                <w:b/>
                <w:bCs/>
                <w:sz w:val="20"/>
                <w:szCs w:val="20"/>
                <w:lang w:eastAsia="en-GB"/>
              </w:rPr>
            </w:pPr>
          </w:p>
        </w:tc>
        <w:tc>
          <w:tcPr>
            <w:tcW w:w="850" w:type="dxa"/>
            <w:tcBorders>
              <w:top w:val="nil"/>
              <w:left w:val="nil"/>
              <w:right w:val="nil"/>
            </w:tcBorders>
            <w:shd w:val="clear" w:color="auto" w:fill="auto"/>
            <w:noWrap/>
            <w:vAlign w:val="center"/>
          </w:tcPr>
          <w:p w14:paraId="1000AB7E"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right w:val="nil"/>
            </w:tcBorders>
            <w:vAlign w:val="center"/>
          </w:tcPr>
          <w:p w14:paraId="04BFBFCB" w14:textId="77777777" w:rsidR="00DA54F3" w:rsidRPr="001B02FE" w:rsidRDefault="00DA54F3" w:rsidP="00A535DB">
            <w:pPr>
              <w:spacing w:after="0" w:line="240" w:lineRule="auto"/>
              <w:jc w:val="right"/>
              <w:rPr>
                <w:rFonts w:eastAsia="Times New Roman" w:cstheme="minorHAnsi"/>
                <w:b/>
                <w:sz w:val="20"/>
                <w:szCs w:val="20"/>
                <w:lang w:eastAsia="en-GB"/>
              </w:rPr>
            </w:pPr>
          </w:p>
        </w:tc>
        <w:tc>
          <w:tcPr>
            <w:tcW w:w="1692" w:type="dxa"/>
            <w:tcBorders>
              <w:top w:val="nil"/>
              <w:left w:val="nil"/>
              <w:right w:val="nil"/>
            </w:tcBorders>
            <w:shd w:val="clear" w:color="auto" w:fill="auto"/>
            <w:noWrap/>
            <w:vAlign w:val="center"/>
          </w:tcPr>
          <w:p w14:paraId="4B2D7901" w14:textId="77777777" w:rsidR="00DA54F3" w:rsidRPr="001B02FE" w:rsidRDefault="00DA54F3" w:rsidP="00A535DB">
            <w:pPr>
              <w:spacing w:after="0" w:line="240" w:lineRule="auto"/>
              <w:jc w:val="right"/>
              <w:rPr>
                <w:rFonts w:eastAsia="Times New Roman" w:cstheme="minorHAnsi"/>
                <w:sz w:val="20"/>
                <w:szCs w:val="20"/>
                <w:lang w:eastAsia="en-GB"/>
              </w:rPr>
            </w:pPr>
          </w:p>
        </w:tc>
      </w:tr>
      <w:tr w:rsidR="00DA54F3" w:rsidRPr="001B02FE" w14:paraId="6DB7BCD0" w14:textId="77777777" w:rsidTr="00A535DB">
        <w:trPr>
          <w:trHeight w:val="289"/>
        </w:trPr>
        <w:tc>
          <w:tcPr>
            <w:tcW w:w="5529" w:type="dxa"/>
            <w:tcBorders>
              <w:top w:val="nil"/>
              <w:left w:val="nil"/>
              <w:right w:val="nil"/>
            </w:tcBorders>
            <w:shd w:val="clear" w:color="auto" w:fill="auto"/>
            <w:noWrap/>
            <w:vAlign w:val="center"/>
          </w:tcPr>
          <w:p w14:paraId="3F660014"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Loss per share to owners of the parent</w:t>
            </w:r>
          </w:p>
        </w:tc>
        <w:tc>
          <w:tcPr>
            <w:tcW w:w="850" w:type="dxa"/>
            <w:tcBorders>
              <w:top w:val="nil"/>
              <w:left w:val="nil"/>
              <w:right w:val="nil"/>
            </w:tcBorders>
            <w:shd w:val="clear" w:color="auto" w:fill="auto"/>
            <w:noWrap/>
            <w:vAlign w:val="center"/>
          </w:tcPr>
          <w:p w14:paraId="471DC5C6"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right w:val="nil"/>
            </w:tcBorders>
            <w:vAlign w:val="center"/>
          </w:tcPr>
          <w:p w14:paraId="5C3913D8" w14:textId="77777777" w:rsidR="00DA54F3" w:rsidRPr="001B02FE" w:rsidRDefault="00DA54F3" w:rsidP="00A535DB">
            <w:pPr>
              <w:spacing w:after="0" w:line="240" w:lineRule="auto"/>
              <w:jc w:val="right"/>
              <w:rPr>
                <w:rFonts w:eastAsia="Times New Roman" w:cstheme="minorHAnsi"/>
                <w:b/>
                <w:sz w:val="20"/>
                <w:szCs w:val="20"/>
                <w:lang w:eastAsia="en-GB"/>
              </w:rPr>
            </w:pPr>
          </w:p>
        </w:tc>
        <w:tc>
          <w:tcPr>
            <w:tcW w:w="1692" w:type="dxa"/>
            <w:tcBorders>
              <w:top w:val="nil"/>
              <w:left w:val="nil"/>
              <w:right w:val="nil"/>
            </w:tcBorders>
            <w:shd w:val="clear" w:color="auto" w:fill="auto"/>
            <w:noWrap/>
            <w:vAlign w:val="center"/>
          </w:tcPr>
          <w:p w14:paraId="14BB3A49" w14:textId="77777777" w:rsidR="00DA54F3" w:rsidRPr="001B02FE" w:rsidRDefault="00DA54F3" w:rsidP="00A535DB">
            <w:pPr>
              <w:spacing w:after="0" w:line="240" w:lineRule="auto"/>
              <w:jc w:val="right"/>
              <w:rPr>
                <w:rFonts w:eastAsia="Times New Roman" w:cstheme="minorHAnsi"/>
                <w:sz w:val="20"/>
                <w:szCs w:val="20"/>
                <w:lang w:eastAsia="en-GB"/>
              </w:rPr>
            </w:pPr>
          </w:p>
        </w:tc>
      </w:tr>
      <w:tr w:rsidR="00DA54F3" w:rsidRPr="001B02FE" w14:paraId="0C0ECEC5" w14:textId="77777777" w:rsidTr="00A535DB">
        <w:trPr>
          <w:trHeight w:val="289"/>
        </w:trPr>
        <w:tc>
          <w:tcPr>
            <w:tcW w:w="5529" w:type="dxa"/>
            <w:tcBorders>
              <w:top w:val="nil"/>
              <w:left w:val="nil"/>
              <w:bottom w:val="single" w:sz="12" w:space="0" w:color="auto"/>
              <w:right w:val="nil"/>
            </w:tcBorders>
            <w:shd w:val="clear" w:color="auto" w:fill="auto"/>
            <w:noWrap/>
            <w:vAlign w:val="center"/>
          </w:tcPr>
          <w:p w14:paraId="3CD35D8A"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Basic and diluted – pence</w:t>
            </w:r>
          </w:p>
        </w:tc>
        <w:tc>
          <w:tcPr>
            <w:tcW w:w="850" w:type="dxa"/>
            <w:tcBorders>
              <w:top w:val="nil"/>
              <w:left w:val="nil"/>
              <w:bottom w:val="single" w:sz="12" w:space="0" w:color="auto"/>
              <w:right w:val="nil"/>
            </w:tcBorders>
            <w:shd w:val="clear" w:color="auto" w:fill="auto"/>
            <w:noWrap/>
            <w:vAlign w:val="center"/>
          </w:tcPr>
          <w:p w14:paraId="13B85938" w14:textId="05D5FF53" w:rsidR="00DA54F3" w:rsidRPr="001B02FE" w:rsidRDefault="00FA091D" w:rsidP="00A535DB">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7</w:t>
            </w:r>
          </w:p>
        </w:tc>
        <w:tc>
          <w:tcPr>
            <w:tcW w:w="1678" w:type="dxa"/>
            <w:tcBorders>
              <w:top w:val="nil"/>
              <w:left w:val="nil"/>
              <w:bottom w:val="single" w:sz="12" w:space="0" w:color="auto"/>
              <w:right w:val="nil"/>
            </w:tcBorders>
            <w:vAlign w:val="center"/>
          </w:tcPr>
          <w:p w14:paraId="224363E8" w14:textId="77777777" w:rsidR="00DA54F3" w:rsidRPr="001B02FE" w:rsidRDefault="00DA54F3" w:rsidP="00A535DB">
            <w:pPr>
              <w:spacing w:after="0" w:line="240" w:lineRule="auto"/>
              <w:jc w:val="right"/>
              <w:rPr>
                <w:rFonts w:eastAsia="Times New Roman" w:cstheme="minorHAnsi"/>
                <w:b/>
                <w:sz w:val="20"/>
                <w:szCs w:val="20"/>
                <w:lang w:eastAsia="en-GB"/>
              </w:rPr>
            </w:pPr>
            <w:r w:rsidRPr="001B02FE">
              <w:rPr>
                <w:rFonts w:eastAsia="Times New Roman" w:cstheme="minorHAnsi"/>
                <w:b/>
                <w:sz w:val="20"/>
                <w:szCs w:val="20"/>
                <w:lang w:eastAsia="en-GB"/>
              </w:rPr>
              <w:t>(4.6p)</w:t>
            </w:r>
          </w:p>
        </w:tc>
        <w:tc>
          <w:tcPr>
            <w:tcW w:w="1692" w:type="dxa"/>
            <w:tcBorders>
              <w:top w:val="nil"/>
              <w:left w:val="nil"/>
              <w:bottom w:val="single" w:sz="12" w:space="0" w:color="auto"/>
              <w:right w:val="nil"/>
            </w:tcBorders>
            <w:shd w:val="clear" w:color="auto" w:fill="auto"/>
            <w:noWrap/>
            <w:vAlign w:val="center"/>
          </w:tcPr>
          <w:p w14:paraId="0E5C755B" w14:textId="77777777" w:rsidR="00DA54F3" w:rsidRPr="001B02FE" w:rsidRDefault="00DA54F3" w:rsidP="00A535DB">
            <w:pPr>
              <w:spacing w:after="0" w:line="240" w:lineRule="auto"/>
              <w:jc w:val="right"/>
              <w:rPr>
                <w:rFonts w:eastAsia="Times New Roman" w:cstheme="minorHAnsi"/>
                <w:sz w:val="20"/>
                <w:szCs w:val="20"/>
                <w:lang w:eastAsia="en-GB"/>
              </w:rPr>
            </w:pPr>
            <w:r w:rsidRPr="001B02FE">
              <w:rPr>
                <w:rFonts w:eastAsia="Times New Roman" w:cstheme="minorHAnsi"/>
                <w:sz w:val="20"/>
                <w:szCs w:val="20"/>
                <w:lang w:eastAsia="en-GB"/>
              </w:rPr>
              <w:t>(8.2p)</w:t>
            </w:r>
          </w:p>
        </w:tc>
      </w:tr>
    </w:tbl>
    <w:p w14:paraId="2F1F2393" w14:textId="77777777" w:rsidR="00DA54F3" w:rsidRPr="001B02FE" w:rsidRDefault="00DA54F3" w:rsidP="00DA54F3">
      <w:pPr>
        <w:pStyle w:val="bulls"/>
        <w:ind w:left="0" w:firstLine="0"/>
        <w:rPr>
          <w:rFonts w:asciiTheme="minorHAnsi" w:hAnsiTheme="minorHAnsi" w:cstheme="minorHAnsi"/>
        </w:rPr>
      </w:pPr>
    </w:p>
    <w:p w14:paraId="58A4873B" w14:textId="77777777" w:rsidR="00DA54F3" w:rsidRPr="001B02FE" w:rsidRDefault="00DA54F3" w:rsidP="00DA54F3">
      <w:pPr>
        <w:ind w:left="284"/>
        <w:rPr>
          <w:rFonts w:cstheme="minorHAnsi"/>
          <w:sz w:val="20"/>
          <w:szCs w:val="20"/>
        </w:rPr>
      </w:pPr>
      <w:r w:rsidRPr="001B02FE">
        <w:rPr>
          <w:rFonts w:cstheme="minorHAnsi"/>
          <w:sz w:val="20"/>
          <w:szCs w:val="20"/>
        </w:rPr>
        <w:t>All amounts relate to continuing operations.</w:t>
      </w:r>
    </w:p>
    <w:p w14:paraId="3AE4D18E" w14:textId="77777777" w:rsidR="00DA54F3" w:rsidRPr="001B02FE" w:rsidRDefault="00DA54F3" w:rsidP="00DA54F3">
      <w:pPr>
        <w:pStyle w:val="bulls"/>
        <w:ind w:left="284" w:firstLine="0"/>
        <w:rPr>
          <w:rFonts w:asciiTheme="minorHAnsi" w:hAnsiTheme="minorHAnsi" w:cstheme="minorHAnsi"/>
        </w:rPr>
      </w:pPr>
    </w:p>
    <w:p w14:paraId="5AAE4D21" w14:textId="77777777" w:rsidR="00DA54F3" w:rsidRPr="001B02FE" w:rsidRDefault="00DA54F3" w:rsidP="00DA54F3">
      <w:pPr>
        <w:pStyle w:val="bulls"/>
        <w:ind w:left="284" w:firstLine="0"/>
        <w:rPr>
          <w:rFonts w:asciiTheme="minorHAnsi" w:hAnsiTheme="minorHAnsi" w:cstheme="minorHAnsi"/>
          <w:b/>
          <w:i/>
        </w:rPr>
      </w:pPr>
    </w:p>
    <w:p w14:paraId="6BD1C726" w14:textId="024CE2A3" w:rsidR="00DA54F3" w:rsidRDefault="00DA54F3" w:rsidP="00DA54F3">
      <w:pPr>
        <w:pStyle w:val="bulls"/>
        <w:ind w:left="284" w:firstLine="0"/>
        <w:rPr>
          <w:rFonts w:asciiTheme="minorHAnsi" w:hAnsiTheme="minorHAnsi" w:cstheme="minorHAnsi"/>
        </w:rPr>
      </w:pPr>
    </w:p>
    <w:p w14:paraId="5A9F2A6E" w14:textId="14066A0A" w:rsidR="001B02FE" w:rsidRDefault="001B02FE" w:rsidP="00DA54F3">
      <w:pPr>
        <w:pStyle w:val="bulls"/>
        <w:ind w:left="284" w:firstLine="0"/>
        <w:rPr>
          <w:rFonts w:asciiTheme="minorHAnsi" w:hAnsiTheme="minorHAnsi" w:cstheme="minorHAnsi"/>
        </w:rPr>
      </w:pPr>
    </w:p>
    <w:p w14:paraId="551EC225" w14:textId="733A7372" w:rsidR="001B02FE" w:rsidRDefault="001B02FE" w:rsidP="00DA54F3">
      <w:pPr>
        <w:pStyle w:val="bulls"/>
        <w:ind w:left="284" w:firstLine="0"/>
        <w:rPr>
          <w:rFonts w:asciiTheme="minorHAnsi" w:hAnsiTheme="minorHAnsi" w:cstheme="minorHAnsi"/>
        </w:rPr>
      </w:pPr>
    </w:p>
    <w:p w14:paraId="246BD520" w14:textId="412D0556" w:rsidR="001B02FE" w:rsidRDefault="001B02FE" w:rsidP="00DA54F3">
      <w:pPr>
        <w:pStyle w:val="bulls"/>
        <w:ind w:left="284" w:firstLine="0"/>
        <w:rPr>
          <w:rFonts w:asciiTheme="minorHAnsi" w:hAnsiTheme="minorHAnsi" w:cstheme="minorHAnsi"/>
        </w:rPr>
      </w:pPr>
    </w:p>
    <w:p w14:paraId="773294AC" w14:textId="2A5E76CF" w:rsidR="001B02FE" w:rsidRDefault="001B02FE" w:rsidP="00DA54F3">
      <w:pPr>
        <w:pStyle w:val="bulls"/>
        <w:ind w:left="284" w:firstLine="0"/>
        <w:rPr>
          <w:rFonts w:asciiTheme="minorHAnsi" w:hAnsiTheme="minorHAnsi" w:cstheme="minorHAnsi"/>
        </w:rPr>
      </w:pPr>
    </w:p>
    <w:p w14:paraId="05009F13" w14:textId="01B4ABDF" w:rsidR="001B02FE" w:rsidRDefault="001B02FE" w:rsidP="00DA54F3">
      <w:pPr>
        <w:pStyle w:val="bulls"/>
        <w:ind w:left="284" w:firstLine="0"/>
        <w:rPr>
          <w:rFonts w:asciiTheme="minorHAnsi" w:hAnsiTheme="minorHAnsi" w:cstheme="minorHAnsi"/>
        </w:rPr>
      </w:pPr>
    </w:p>
    <w:p w14:paraId="0B32412A" w14:textId="7679B727" w:rsidR="001B02FE" w:rsidRDefault="001B02FE" w:rsidP="00DA54F3">
      <w:pPr>
        <w:pStyle w:val="bulls"/>
        <w:ind w:left="284" w:firstLine="0"/>
        <w:rPr>
          <w:rFonts w:asciiTheme="minorHAnsi" w:hAnsiTheme="minorHAnsi" w:cstheme="minorHAnsi"/>
        </w:rPr>
      </w:pPr>
    </w:p>
    <w:p w14:paraId="3674588B" w14:textId="182A0A28" w:rsidR="001B02FE" w:rsidRDefault="001B02FE" w:rsidP="00DA54F3">
      <w:pPr>
        <w:pStyle w:val="bulls"/>
        <w:ind w:left="284" w:firstLine="0"/>
        <w:rPr>
          <w:rFonts w:asciiTheme="minorHAnsi" w:hAnsiTheme="minorHAnsi" w:cstheme="minorHAnsi"/>
        </w:rPr>
      </w:pPr>
    </w:p>
    <w:p w14:paraId="1FD4506A" w14:textId="7964E4A0" w:rsidR="001B02FE" w:rsidRDefault="001B02FE" w:rsidP="00DA54F3">
      <w:pPr>
        <w:pStyle w:val="bulls"/>
        <w:ind w:left="284" w:firstLine="0"/>
        <w:rPr>
          <w:rFonts w:asciiTheme="minorHAnsi" w:hAnsiTheme="minorHAnsi" w:cstheme="minorHAnsi"/>
        </w:rPr>
      </w:pPr>
    </w:p>
    <w:p w14:paraId="2EA3D1ED" w14:textId="205528C0" w:rsidR="001B02FE" w:rsidRDefault="001B02FE" w:rsidP="00DA54F3">
      <w:pPr>
        <w:pStyle w:val="bulls"/>
        <w:ind w:left="284" w:firstLine="0"/>
        <w:rPr>
          <w:rFonts w:asciiTheme="minorHAnsi" w:hAnsiTheme="minorHAnsi" w:cstheme="minorHAnsi"/>
        </w:rPr>
      </w:pPr>
    </w:p>
    <w:p w14:paraId="7E0923B0" w14:textId="691005BA" w:rsidR="001B02FE" w:rsidRDefault="001B02FE" w:rsidP="00DA54F3">
      <w:pPr>
        <w:pStyle w:val="bulls"/>
        <w:ind w:left="284" w:firstLine="0"/>
        <w:rPr>
          <w:rFonts w:asciiTheme="minorHAnsi" w:hAnsiTheme="minorHAnsi" w:cstheme="minorHAnsi"/>
        </w:rPr>
      </w:pPr>
    </w:p>
    <w:p w14:paraId="26B896C6" w14:textId="2F96B8E1" w:rsidR="001B02FE" w:rsidRDefault="001B02FE" w:rsidP="00DA54F3">
      <w:pPr>
        <w:pStyle w:val="bulls"/>
        <w:ind w:left="284" w:firstLine="0"/>
        <w:rPr>
          <w:rFonts w:asciiTheme="minorHAnsi" w:hAnsiTheme="minorHAnsi" w:cstheme="minorHAnsi"/>
        </w:rPr>
      </w:pPr>
    </w:p>
    <w:p w14:paraId="443F4A8F" w14:textId="36EB4F92" w:rsidR="001B02FE" w:rsidRDefault="001B02FE" w:rsidP="00DA54F3">
      <w:pPr>
        <w:pStyle w:val="bulls"/>
        <w:ind w:left="284" w:firstLine="0"/>
        <w:rPr>
          <w:rFonts w:asciiTheme="minorHAnsi" w:hAnsiTheme="minorHAnsi" w:cstheme="minorHAnsi"/>
        </w:rPr>
      </w:pPr>
    </w:p>
    <w:p w14:paraId="7452BB92" w14:textId="77777777" w:rsidR="001B02FE" w:rsidRDefault="001B02FE" w:rsidP="00DA54F3">
      <w:pPr>
        <w:pStyle w:val="bulls"/>
        <w:ind w:left="284" w:firstLine="0"/>
        <w:rPr>
          <w:rFonts w:asciiTheme="minorHAnsi" w:hAnsiTheme="minorHAnsi" w:cstheme="minorHAnsi"/>
        </w:rPr>
        <w:sectPr w:rsidR="001B02FE" w:rsidSect="00A535DB">
          <w:footerReference w:type="default" r:id="rId10"/>
          <w:pgSz w:w="11906" w:h="16838"/>
          <w:pgMar w:top="1440" w:right="1440" w:bottom="1440" w:left="1440" w:header="708" w:footer="708" w:gutter="0"/>
          <w:cols w:space="708"/>
          <w:docGrid w:linePitch="360"/>
        </w:sectPr>
      </w:pPr>
    </w:p>
    <w:p w14:paraId="2F2F9994" w14:textId="343A2E23" w:rsidR="001B02FE" w:rsidRPr="001B02FE" w:rsidRDefault="001B02FE" w:rsidP="001B02FE">
      <w:pPr>
        <w:pStyle w:val="Header"/>
        <w:rPr>
          <w:rFonts w:cstheme="minorHAnsi"/>
          <w:b/>
          <w:sz w:val="24"/>
          <w:szCs w:val="20"/>
        </w:rPr>
      </w:pPr>
      <w:r w:rsidRPr="001B02FE">
        <w:rPr>
          <w:rFonts w:cstheme="minorHAnsi"/>
          <w:b/>
          <w:sz w:val="24"/>
          <w:szCs w:val="20"/>
        </w:rPr>
        <w:t xml:space="preserve">Consolidated statement of </w:t>
      </w:r>
      <w:r>
        <w:rPr>
          <w:rFonts w:cstheme="minorHAnsi"/>
          <w:b/>
          <w:sz w:val="24"/>
          <w:szCs w:val="20"/>
        </w:rPr>
        <w:t>financial position</w:t>
      </w:r>
    </w:p>
    <w:tbl>
      <w:tblPr>
        <w:tblW w:w="9685" w:type="dxa"/>
        <w:tblInd w:w="90" w:type="dxa"/>
        <w:tblLayout w:type="fixed"/>
        <w:tblLook w:val="0000" w:firstRow="0" w:lastRow="0" w:firstColumn="0" w:lastColumn="0" w:noHBand="0" w:noVBand="0"/>
      </w:tblPr>
      <w:tblGrid>
        <w:gridCol w:w="5953"/>
        <w:gridCol w:w="739"/>
        <w:gridCol w:w="1496"/>
        <w:gridCol w:w="1497"/>
      </w:tblGrid>
      <w:tr w:rsidR="00DA54F3" w:rsidRPr="001B02FE" w14:paraId="1EE14793" w14:textId="77777777" w:rsidTr="00A535DB">
        <w:trPr>
          <w:trHeight w:val="263"/>
        </w:trPr>
        <w:tc>
          <w:tcPr>
            <w:tcW w:w="5953" w:type="dxa"/>
            <w:tcBorders>
              <w:top w:val="nil"/>
              <w:left w:val="nil"/>
              <w:bottom w:val="nil"/>
              <w:right w:val="nil"/>
            </w:tcBorders>
            <w:shd w:val="clear" w:color="auto" w:fill="auto"/>
            <w:noWrap/>
            <w:vAlign w:val="center"/>
          </w:tcPr>
          <w:p w14:paraId="69D1E6AD" w14:textId="77777777" w:rsidR="001B02FE" w:rsidRPr="001B02FE" w:rsidRDefault="001B02FE" w:rsidP="00A535DB">
            <w:pPr>
              <w:spacing w:after="0" w:line="240" w:lineRule="auto"/>
              <w:jc w:val="both"/>
              <w:rPr>
                <w:rFonts w:eastAsia="Times New Roman" w:cstheme="minorHAnsi"/>
                <w:b/>
                <w:i/>
                <w:sz w:val="20"/>
                <w:szCs w:val="20"/>
              </w:rPr>
            </w:pPr>
          </w:p>
        </w:tc>
        <w:tc>
          <w:tcPr>
            <w:tcW w:w="739" w:type="dxa"/>
            <w:tcBorders>
              <w:top w:val="nil"/>
              <w:left w:val="nil"/>
              <w:bottom w:val="nil"/>
              <w:right w:val="nil"/>
            </w:tcBorders>
            <w:vAlign w:val="center"/>
          </w:tcPr>
          <w:p w14:paraId="348B6E03" w14:textId="77777777" w:rsidR="00DA54F3" w:rsidRPr="001B02FE" w:rsidRDefault="00DA54F3" w:rsidP="00A535DB">
            <w:pPr>
              <w:spacing w:after="0" w:line="240" w:lineRule="auto"/>
              <w:jc w:val="center"/>
              <w:rPr>
                <w:rFonts w:eastAsia="Times New Roman" w:cstheme="minorHAnsi"/>
                <w:bCs/>
                <w:sz w:val="20"/>
                <w:szCs w:val="20"/>
                <w:lang w:eastAsia="en-GB"/>
              </w:rPr>
            </w:pPr>
          </w:p>
        </w:tc>
        <w:tc>
          <w:tcPr>
            <w:tcW w:w="1496" w:type="dxa"/>
            <w:tcBorders>
              <w:top w:val="nil"/>
              <w:left w:val="nil"/>
              <w:bottom w:val="nil"/>
              <w:right w:val="nil"/>
            </w:tcBorders>
            <w:shd w:val="clear" w:color="auto" w:fill="auto"/>
            <w:noWrap/>
            <w:vAlign w:val="bottom"/>
          </w:tcPr>
          <w:p w14:paraId="640849E5"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 xml:space="preserve">As at </w:t>
            </w:r>
          </w:p>
        </w:tc>
        <w:tc>
          <w:tcPr>
            <w:tcW w:w="1497" w:type="dxa"/>
            <w:tcBorders>
              <w:top w:val="nil"/>
              <w:left w:val="nil"/>
              <w:bottom w:val="nil"/>
              <w:right w:val="nil"/>
            </w:tcBorders>
            <w:shd w:val="clear" w:color="auto" w:fill="auto"/>
            <w:noWrap/>
            <w:vAlign w:val="bottom"/>
          </w:tcPr>
          <w:p w14:paraId="2D07CA1B" w14:textId="77777777" w:rsidR="00DA54F3" w:rsidRPr="001B02FE" w:rsidRDefault="00DA54F3" w:rsidP="00A535DB">
            <w:pPr>
              <w:spacing w:after="0" w:line="240" w:lineRule="auto"/>
              <w:ind w:right="33"/>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As at </w:t>
            </w:r>
          </w:p>
        </w:tc>
      </w:tr>
      <w:tr w:rsidR="00DA54F3" w:rsidRPr="001B02FE" w14:paraId="74F6EEC6" w14:textId="77777777" w:rsidTr="00A535DB">
        <w:trPr>
          <w:trHeight w:val="263"/>
        </w:trPr>
        <w:tc>
          <w:tcPr>
            <w:tcW w:w="5953" w:type="dxa"/>
            <w:tcBorders>
              <w:top w:val="nil"/>
              <w:left w:val="nil"/>
              <w:bottom w:val="nil"/>
              <w:right w:val="nil"/>
            </w:tcBorders>
            <w:shd w:val="clear" w:color="auto" w:fill="auto"/>
            <w:noWrap/>
            <w:vAlign w:val="center"/>
          </w:tcPr>
          <w:p w14:paraId="43839D1B" w14:textId="77777777" w:rsidR="00DA54F3" w:rsidRPr="001B02FE" w:rsidRDefault="00DA54F3" w:rsidP="00A535DB">
            <w:pPr>
              <w:spacing w:after="0" w:line="240" w:lineRule="auto"/>
              <w:outlineLvl w:val="0"/>
              <w:rPr>
                <w:rFonts w:eastAsia="Times New Roman" w:cstheme="minorHAnsi"/>
                <w:sz w:val="20"/>
                <w:szCs w:val="20"/>
                <w:lang w:eastAsia="en-GB"/>
              </w:rPr>
            </w:pPr>
          </w:p>
        </w:tc>
        <w:tc>
          <w:tcPr>
            <w:tcW w:w="739" w:type="dxa"/>
            <w:tcBorders>
              <w:top w:val="nil"/>
              <w:left w:val="nil"/>
              <w:bottom w:val="nil"/>
              <w:right w:val="nil"/>
            </w:tcBorders>
            <w:vAlign w:val="center"/>
          </w:tcPr>
          <w:p w14:paraId="2B2EF252" w14:textId="77777777" w:rsidR="00DA54F3" w:rsidRPr="001B02FE" w:rsidRDefault="00DA54F3" w:rsidP="00A535DB">
            <w:pPr>
              <w:spacing w:after="0" w:line="240" w:lineRule="auto"/>
              <w:jc w:val="center"/>
              <w:rPr>
                <w:rFonts w:eastAsia="Times New Roman" w:cstheme="minorHAnsi"/>
                <w:bCs/>
                <w:sz w:val="20"/>
                <w:szCs w:val="20"/>
                <w:lang w:eastAsia="en-GB"/>
              </w:rPr>
            </w:pPr>
          </w:p>
        </w:tc>
        <w:tc>
          <w:tcPr>
            <w:tcW w:w="1496" w:type="dxa"/>
            <w:tcBorders>
              <w:top w:val="nil"/>
              <w:left w:val="nil"/>
              <w:bottom w:val="nil"/>
              <w:right w:val="nil"/>
            </w:tcBorders>
            <w:shd w:val="clear" w:color="auto" w:fill="auto"/>
            <w:noWrap/>
            <w:vAlign w:val="center"/>
          </w:tcPr>
          <w:p w14:paraId="431301A4"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31 December</w:t>
            </w:r>
          </w:p>
        </w:tc>
        <w:tc>
          <w:tcPr>
            <w:tcW w:w="1497" w:type="dxa"/>
            <w:tcBorders>
              <w:top w:val="nil"/>
              <w:left w:val="nil"/>
              <w:bottom w:val="nil"/>
              <w:right w:val="nil"/>
            </w:tcBorders>
            <w:shd w:val="clear" w:color="auto" w:fill="auto"/>
            <w:noWrap/>
            <w:vAlign w:val="center"/>
          </w:tcPr>
          <w:p w14:paraId="4B32BFDA" w14:textId="77777777" w:rsidR="00DA54F3" w:rsidRPr="001B02FE" w:rsidRDefault="00DA54F3" w:rsidP="00A535DB">
            <w:pPr>
              <w:spacing w:after="0" w:line="240" w:lineRule="auto"/>
              <w:ind w:right="33"/>
              <w:jc w:val="right"/>
              <w:rPr>
                <w:rFonts w:eastAsia="Times New Roman" w:cstheme="minorHAnsi"/>
                <w:bCs/>
                <w:sz w:val="20"/>
                <w:szCs w:val="20"/>
                <w:lang w:eastAsia="en-GB"/>
              </w:rPr>
            </w:pPr>
            <w:r w:rsidRPr="001B02FE">
              <w:rPr>
                <w:rFonts w:eastAsia="Times New Roman" w:cstheme="minorHAnsi"/>
                <w:bCs/>
                <w:sz w:val="20"/>
                <w:szCs w:val="20"/>
                <w:lang w:eastAsia="en-GB"/>
              </w:rPr>
              <w:t>31 December</w:t>
            </w:r>
          </w:p>
        </w:tc>
      </w:tr>
      <w:tr w:rsidR="00DA54F3" w:rsidRPr="001B02FE" w14:paraId="6B68E6EA" w14:textId="77777777" w:rsidTr="00A535DB">
        <w:trPr>
          <w:trHeight w:val="263"/>
        </w:trPr>
        <w:tc>
          <w:tcPr>
            <w:tcW w:w="5953" w:type="dxa"/>
            <w:tcBorders>
              <w:top w:val="nil"/>
              <w:left w:val="nil"/>
              <w:right w:val="nil"/>
            </w:tcBorders>
            <w:shd w:val="clear" w:color="auto" w:fill="auto"/>
            <w:noWrap/>
            <w:vAlign w:val="center"/>
          </w:tcPr>
          <w:p w14:paraId="4033274D" w14:textId="77777777" w:rsidR="00DA54F3" w:rsidRPr="001B02FE" w:rsidRDefault="00DA54F3" w:rsidP="00A535DB">
            <w:pPr>
              <w:spacing w:after="0" w:line="240" w:lineRule="auto"/>
              <w:rPr>
                <w:rFonts w:eastAsia="Times New Roman" w:cstheme="minorHAnsi"/>
                <w:sz w:val="20"/>
                <w:szCs w:val="20"/>
                <w:lang w:eastAsia="en-GB"/>
              </w:rPr>
            </w:pPr>
          </w:p>
        </w:tc>
        <w:tc>
          <w:tcPr>
            <w:tcW w:w="739" w:type="dxa"/>
            <w:tcBorders>
              <w:top w:val="nil"/>
              <w:left w:val="nil"/>
              <w:right w:val="nil"/>
            </w:tcBorders>
            <w:vAlign w:val="center"/>
          </w:tcPr>
          <w:p w14:paraId="05779B1B" w14:textId="77777777" w:rsidR="00DA54F3" w:rsidRPr="001B02FE" w:rsidRDefault="00DA54F3" w:rsidP="00A535DB">
            <w:pPr>
              <w:spacing w:after="0" w:line="240" w:lineRule="auto"/>
              <w:jc w:val="center"/>
              <w:rPr>
                <w:rFonts w:eastAsia="Times New Roman" w:cstheme="minorHAnsi"/>
                <w:bCs/>
                <w:sz w:val="20"/>
                <w:szCs w:val="20"/>
                <w:lang w:eastAsia="en-GB"/>
              </w:rPr>
            </w:pPr>
          </w:p>
        </w:tc>
        <w:tc>
          <w:tcPr>
            <w:tcW w:w="1496" w:type="dxa"/>
            <w:tcBorders>
              <w:top w:val="nil"/>
              <w:left w:val="nil"/>
              <w:right w:val="nil"/>
            </w:tcBorders>
            <w:shd w:val="clear" w:color="auto" w:fill="auto"/>
            <w:noWrap/>
            <w:vAlign w:val="center"/>
          </w:tcPr>
          <w:p w14:paraId="5885FE06"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2019</w:t>
            </w:r>
          </w:p>
        </w:tc>
        <w:tc>
          <w:tcPr>
            <w:tcW w:w="1497" w:type="dxa"/>
            <w:tcBorders>
              <w:top w:val="nil"/>
              <w:left w:val="nil"/>
              <w:right w:val="nil"/>
            </w:tcBorders>
            <w:shd w:val="clear" w:color="auto" w:fill="auto"/>
            <w:noWrap/>
            <w:vAlign w:val="center"/>
          </w:tcPr>
          <w:p w14:paraId="276F1442" w14:textId="77777777" w:rsidR="00DA54F3" w:rsidRPr="001B02FE" w:rsidRDefault="00DA54F3" w:rsidP="00A535DB">
            <w:pPr>
              <w:spacing w:after="0" w:line="240" w:lineRule="auto"/>
              <w:ind w:right="33"/>
              <w:jc w:val="right"/>
              <w:rPr>
                <w:rFonts w:eastAsia="Times New Roman" w:cstheme="minorHAnsi"/>
                <w:bCs/>
                <w:sz w:val="20"/>
                <w:szCs w:val="20"/>
                <w:lang w:eastAsia="en-GB"/>
              </w:rPr>
            </w:pPr>
            <w:r w:rsidRPr="001B02FE">
              <w:rPr>
                <w:rFonts w:eastAsia="Times New Roman" w:cstheme="minorHAnsi"/>
                <w:bCs/>
                <w:sz w:val="20"/>
                <w:szCs w:val="20"/>
                <w:lang w:eastAsia="en-GB"/>
              </w:rPr>
              <w:t>2018</w:t>
            </w:r>
          </w:p>
        </w:tc>
      </w:tr>
      <w:tr w:rsidR="00DA54F3" w:rsidRPr="001B02FE" w14:paraId="33E05C07" w14:textId="77777777" w:rsidTr="00A535DB">
        <w:trPr>
          <w:trHeight w:val="263"/>
        </w:trPr>
        <w:tc>
          <w:tcPr>
            <w:tcW w:w="5953" w:type="dxa"/>
            <w:tcBorders>
              <w:top w:val="nil"/>
              <w:left w:val="nil"/>
              <w:bottom w:val="single" w:sz="4" w:space="0" w:color="auto"/>
              <w:right w:val="nil"/>
            </w:tcBorders>
            <w:shd w:val="clear" w:color="auto" w:fill="auto"/>
            <w:noWrap/>
            <w:vAlign w:val="center"/>
          </w:tcPr>
          <w:p w14:paraId="326F8F07" w14:textId="77777777" w:rsidR="00DA54F3" w:rsidRPr="001B02FE" w:rsidRDefault="00DA54F3" w:rsidP="00A535DB">
            <w:pPr>
              <w:spacing w:after="0" w:line="240" w:lineRule="auto"/>
              <w:rPr>
                <w:rFonts w:eastAsia="Times New Roman" w:cstheme="minorHAnsi"/>
                <w:sz w:val="20"/>
                <w:szCs w:val="20"/>
                <w:lang w:eastAsia="en-GB"/>
              </w:rPr>
            </w:pPr>
          </w:p>
        </w:tc>
        <w:tc>
          <w:tcPr>
            <w:tcW w:w="739" w:type="dxa"/>
            <w:tcBorders>
              <w:top w:val="nil"/>
              <w:left w:val="nil"/>
              <w:bottom w:val="single" w:sz="4" w:space="0" w:color="auto"/>
              <w:right w:val="nil"/>
            </w:tcBorders>
            <w:vAlign w:val="center"/>
          </w:tcPr>
          <w:p w14:paraId="7CCEC84C" w14:textId="77777777" w:rsidR="00DA54F3" w:rsidRPr="001B02FE" w:rsidRDefault="00DA54F3" w:rsidP="00A535DB">
            <w:pPr>
              <w:spacing w:after="0" w:line="240" w:lineRule="auto"/>
              <w:jc w:val="center"/>
              <w:rPr>
                <w:rFonts w:eastAsia="Times New Roman" w:cstheme="minorHAnsi"/>
                <w:bCs/>
                <w:sz w:val="20"/>
                <w:szCs w:val="20"/>
                <w:lang w:eastAsia="en-GB"/>
              </w:rPr>
            </w:pPr>
            <w:r w:rsidRPr="001B02FE">
              <w:rPr>
                <w:rFonts w:eastAsia="Times New Roman" w:cstheme="minorHAnsi"/>
                <w:bCs/>
                <w:sz w:val="20"/>
                <w:szCs w:val="20"/>
                <w:lang w:eastAsia="en-GB"/>
              </w:rPr>
              <w:t>Notes</w:t>
            </w:r>
          </w:p>
        </w:tc>
        <w:tc>
          <w:tcPr>
            <w:tcW w:w="1496" w:type="dxa"/>
            <w:tcBorders>
              <w:top w:val="nil"/>
              <w:left w:val="nil"/>
              <w:bottom w:val="single" w:sz="4" w:space="0" w:color="auto"/>
              <w:right w:val="nil"/>
            </w:tcBorders>
            <w:shd w:val="clear" w:color="auto" w:fill="auto"/>
            <w:noWrap/>
            <w:vAlign w:val="center"/>
          </w:tcPr>
          <w:p w14:paraId="23E6F3C3"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 xml:space="preserve">£’000 </w:t>
            </w:r>
          </w:p>
        </w:tc>
        <w:tc>
          <w:tcPr>
            <w:tcW w:w="1497" w:type="dxa"/>
            <w:tcBorders>
              <w:top w:val="nil"/>
              <w:left w:val="nil"/>
              <w:bottom w:val="single" w:sz="4" w:space="0" w:color="auto"/>
              <w:right w:val="nil"/>
            </w:tcBorders>
            <w:shd w:val="clear" w:color="auto" w:fill="auto"/>
            <w:noWrap/>
            <w:vAlign w:val="center"/>
          </w:tcPr>
          <w:p w14:paraId="6E2245E5" w14:textId="77777777" w:rsidR="00DA54F3" w:rsidRPr="001B02FE" w:rsidRDefault="00DA54F3" w:rsidP="00A535DB">
            <w:pPr>
              <w:spacing w:after="0" w:line="240" w:lineRule="auto"/>
              <w:ind w:right="33"/>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£’000 </w:t>
            </w:r>
          </w:p>
        </w:tc>
      </w:tr>
      <w:tr w:rsidR="00DA54F3" w:rsidRPr="001B02FE" w14:paraId="354F9012" w14:textId="77777777" w:rsidTr="00A535DB">
        <w:trPr>
          <w:trHeight w:val="263"/>
        </w:trPr>
        <w:tc>
          <w:tcPr>
            <w:tcW w:w="5953" w:type="dxa"/>
            <w:tcBorders>
              <w:top w:val="nil"/>
              <w:left w:val="nil"/>
              <w:bottom w:val="nil"/>
              <w:right w:val="nil"/>
            </w:tcBorders>
            <w:shd w:val="clear" w:color="auto" w:fill="auto"/>
            <w:noWrap/>
            <w:vAlign w:val="center"/>
          </w:tcPr>
          <w:p w14:paraId="41373982"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b/>
                <w:bCs/>
                <w:sz w:val="20"/>
                <w:szCs w:val="20"/>
                <w:lang w:eastAsia="en-GB"/>
              </w:rPr>
              <w:t>Assets</w:t>
            </w:r>
          </w:p>
        </w:tc>
        <w:tc>
          <w:tcPr>
            <w:tcW w:w="739" w:type="dxa"/>
            <w:tcBorders>
              <w:top w:val="nil"/>
              <w:left w:val="nil"/>
              <w:bottom w:val="nil"/>
              <w:right w:val="nil"/>
            </w:tcBorders>
            <w:vAlign w:val="center"/>
          </w:tcPr>
          <w:p w14:paraId="7EA5F635"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bottom w:val="nil"/>
              <w:right w:val="nil"/>
            </w:tcBorders>
            <w:shd w:val="clear" w:color="auto" w:fill="auto"/>
            <w:noWrap/>
            <w:vAlign w:val="center"/>
          </w:tcPr>
          <w:p w14:paraId="3FE3421F" w14:textId="77777777" w:rsidR="00DA54F3" w:rsidRPr="001B02FE" w:rsidRDefault="00DA54F3" w:rsidP="00A535DB">
            <w:pPr>
              <w:spacing w:after="0" w:line="240" w:lineRule="auto"/>
              <w:jc w:val="right"/>
              <w:rPr>
                <w:rFonts w:eastAsia="Times New Roman" w:cstheme="minorHAnsi"/>
                <w:b/>
                <w:sz w:val="20"/>
                <w:szCs w:val="20"/>
                <w:lang w:eastAsia="en-GB"/>
              </w:rPr>
            </w:pPr>
          </w:p>
        </w:tc>
        <w:tc>
          <w:tcPr>
            <w:tcW w:w="1497" w:type="dxa"/>
            <w:tcBorders>
              <w:top w:val="nil"/>
              <w:left w:val="nil"/>
              <w:bottom w:val="nil"/>
              <w:right w:val="nil"/>
            </w:tcBorders>
            <w:shd w:val="clear" w:color="auto" w:fill="auto"/>
            <w:noWrap/>
            <w:vAlign w:val="center"/>
          </w:tcPr>
          <w:p w14:paraId="0C6C6446" w14:textId="77777777" w:rsidR="00DA54F3" w:rsidRPr="001B02FE" w:rsidRDefault="00DA54F3" w:rsidP="00A535DB">
            <w:pPr>
              <w:spacing w:after="0" w:line="240" w:lineRule="auto"/>
              <w:jc w:val="right"/>
              <w:rPr>
                <w:rFonts w:eastAsia="Times New Roman" w:cstheme="minorHAnsi"/>
                <w:sz w:val="20"/>
                <w:szCs w:val="20"/>
                <w:lang w:eastAsia="en-GB"/>
              </w:rPr>
            </w:pPr>
          </w:p>
        </w:tc>
      </w:tr>
      <w:tr w:rsidR="00DA54F3" w:rsidRPr="001B02FE" w14:paraId="7EC950D8" w14:textId="77777777" w:rsidTr="00A535DB">
        <w:trPr>
          <w:trHeight w:val="263"/>
        </w:trPr>
        <w:tc>
          <w:tcPr>
            <w:tcW w:w="5953" w:type="dxa"/>
            <w:tcBorders>
              <w:top w:val="nil"/>
              <w:left w:val="nil"/>
              <w:bottom w:val="nil"/>
              <w:right w:val="nil"/>
            </w:tcBorders>
            <w:shd w:val="clear" w:color="auto" w:fill="auto"/>
            <w:noWrap/>
            <w:vAlign w:val="center"/>
          </w:tcPr>
          <w:p w14:paraId="4856D6AF"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Non-current assets</w:t>
            </w:r>
          </w:p>
        </w:tc>
        <w:tc>
          <w:tcPr>
            <w:tcW w:w="739" w:type="dxa"/>
            <w:tcBorders>
              <w:top w:val="nil"/>
              <w:left w:val="nil"/>
              <w:bottom w:val="nil"/>
              <w:right w:val="nil"/>
            </w:tcBorders>
            <w:vAlign w:val="center"/>
          </w:tcPr>
          <w:p w14:paraId="4676D0BD"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bottom w:val="nil"/>
              <w:right w:val="nil"/>
            </w:tcBorders>
            <w:shd w:val="clear" w:color="auto" w:fill="auto"/>
            <w:noWrap/>
            <w:vAlign w:val="center"/>
          </w:tcPr>
          <w:p w14:paraId="5732C258" w14:textId="77777777" w:rsidR="00DA54F3" w:rsidRPr="001B02FE" w:rsidRDefault="00DA54F3" w:rsidP="00A535DB">
            <w:pPr>
              <w:spacing w:after="0" w:line="240" w:lineRule="auto"/>
              <w:jc w:val="right"/>
              <w:rPr>
                <w:rFonts w:eastAsia="Times New Roman" w:cstheme="minorHAnsi"/>
                <w:b/>
                <w:sz w:val="20"/>
                <w:szCs w:val="20"/>
                <w:lang w:eastAsia="en-GB"/>
              </w:rPr>
            </w:pPr>
          </w:p>
        </w:tc>
        <w:tc>
          <w:tcPr>
            <w:tcW w:w="1497" w:type="dxa"/>
            <w:tcBorders>
              <w:top w:val="nil"/>
              <w:left w:val="nil"/>
              <w:bottom w:val="nil"/>
              <w:right w:val="nil"/>
            </w:tcBorders>
            <w:shd w:val="clear" w:color="auto" w:fill="auto"/>
            <w:noWrap/>
            <w:vAlign w:val="center"/>
          </w:tcPr>
          <w:p w14:paraId="51568215" w14:textId="77777777" w:rsidR="00DA54F3" w:rsidRPr="001B02FE" w:rsidRDefault="00DA54F3" w:rsidP="00A535DB">
            <w:pPr>
              <w:spacing w:after="0" w:line="240" w:lineRule="auto"/>
              <w:jc w:val="right"/>
              <w:rPr>
                <w:rFonts w:eastAsia="Times New Roman" w:cstheme="minorHAnsi"/>
                <w:sz w:val="20"/>
                <w:szCs w:val="20"/>
                <w:lang w:eastAsia="en-GB"/>
              </w:rPr>
            </w:pPr>
          </w:p>
        </w:tc>
      </w:tr>
      <w:tr w:rsidR="00DA54F3" w:rsidRPr="001B02FE" w14:paraId="4EA47450" w14:textId="77777777" w:rsidTr="00A535DB">
        <w:trPr>
          <w:trHeight w:val="263"/>
        </w:trPr>
        <w:tc>
          <w:tcPr>
            <w:tcW w:w="5953" w:type="dxa"/>
            <w:tcBorders>
              <w:left w:val="nil"/>
              <w:right w:val="nil"/>
            </w:tcBorders>
            <w:shd w:val="clear" w:color="auto" w:fill="auto"/>
            <w:noWrap/>
            <w:vAlign w:val="center"/>
          </w:tcPr>
          <w:p w14:paraId="0C2F59EB"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Intangible assets</w:t>
            </w:r>
          </w:p>
        </w:tc>
        <w:tc>
          <w:tcPr>
            <w:tcW w:w="739" w:type="dxa"/>
            <w:tcBorders>
              <w:left w:val="nil"/>
              <w:right w:val="nil"/>
            </w:tcBorders>
            <w:vAlign w:val="center"/>
          </w:tcPr>
          <w:p w14:paraId="0F995222" w14:textId="7DB0CEF1"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left w:val="nil"/>
              <w:right w:val="nil"/>
            </w:tcBorders>
            <w:shd w:val="clear" w:color="auto" w:fill="auto"/>
            <w:noWrap/>
            <w:vAlign w:val="center"/>
          </w:tcPr>
          <w:p w14:paraId="07F099F4"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33,066</w:t>
            </w:r>
          </w:p>
        </w:tc>
        <w:tc>
          <w:tcPr>
            <w:tcW w:w="1497" w:type="dxa"/>
            <w:tcBorders>
              <w:left w:val="nil"/>
              <w:right w:val="nil"/>
            </w:tcBorders>
            <w:shd w:val="clear" w:color="auto" w:fill="auto"/>
            <w:noWrap/>
            <w:vAlign w:val="center"/>
          </w:tcPr>
          <w:p w14:paraId="344ED093"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33,742</w:t>
            </w:r>
          </w:p>
        </w:tc>
      </w:tr>
      <w:tr w:rsidR="00DA54F3" w:rsidRPr="001B02FE" w14:paraId="3D470A91" w14:textId="77777777" w:rsidTr="00A535DB">
        <w:trPr>
          <w:trHeight w:val="263"/>
        </w:trPr>
        <w:tc>
          <w:tcPr>
            <w:tcW w:w="5953" w:type="dxa"/>
            <w:tcBorders>
              <w:left w:val="nil"/>
              <w:right w:val="nil"/>
            </w:tcBorders>
            <w:shd w:val="clear" w:color="auto" w:fill="auto"/>
            <w:noWrap/>
            <w:vAlign w:val="center"/>
          </w:tcPr>
          <w:p w14:paraId="160F03E5"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Right of use assets</w:t>
            </w:r>
          </w:p>
        </w:tc>
        <w:tc>
          <w:tcPr>
            <w:tcW w:w="739" w:type="dxa"/>
            <w:tcBorders>
              <w:left w:val="nil"/>
              <w:right w:val="nil"/>
            </w:tcBorders>
            <w:vAlign w:val="center"/>
          </w:tcPr>
          <w:p w14:paraId="59153212" w14:textId="02FFF1CF"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left w:val="nil"/>
              <w:right w:val="nil"/>
            </w:tcBorders>
            <w:shd w:val="clear" w:color="auto" w:fill="auto"/>
            <w:noWrap/>
            <w:vAlign w:val="center"/>
          </w:tcPr>
          <w:p w14:paraId="1D2EBA20"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689</w:t>
            </w:r>
          </w:p>
        </w:tc>
        <w:tc>
          <w:tcPr>
            <w:tcW w:w="1497" w:type="dxa"/>
            <w:tcBorders>
              <w:left w:val="nil"/>
              <w:right w:val="nil"/>
            </w:tcBorders>
            <w:shd w:val="clear" w:color="auto" w:fill="auto"/>
            <w:noWrap/>
            <w:vAlign w:val="center"/>
          </w:tcPr>
          <w:p w14:paraId="24A73272"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w:t>
            </w:r>
          </w:p>
        </w:tc>
      </w:tr>
      <w:tr w:rsidR="00DA54F3" w:rsidRPr="001B02FE" w14:paraId="0B9CD886" w14:textId="77777777" w:rsidTr="00A535DB">
        <w:trPr>
          <w:trHeight w:val="263"/>
        </w:trPr>
        <w:tc>
          <w:tcPr>
            <w:tcW w:w="5953" w:type="dxa"/>
            <w:tcBorders>
              <w:left w:val="nil"/>
              <w:right w:val="nil"/>
            </w:tcBorders>
            <w:shd w:val="clear" w:color="auto" w:fill="auto"/>
            <w:noWrap/>
            <w:vAlign w:val="center"/>
          </w:tcPr>
          <w:p w14:paraId="696D3DA1"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Property, plant and equipment</w:t>
            </w:r>
          </w:p>
        </w:tc>
        <w:tc>
          <w:tcPr>
            <w:tcW w:w="739" w:type="dxa"/>
            <w:tcBorders>
              <w:left w:val="nil"/>
              <w:right w:val="nil"/>
            </w:tcBorders>
            <w:vAlign w:val="center"/>
          </w:tcPr>
          <w:p w14:paraId="1EE24B57" w14:textId="2FEC4839"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left w:val="nil"/>
              <w:right w:val="nil"/>
            </w:tcBorders>
            <w:shd w:val="clear" w:color="auto" w:fill="auto"/>
            <w:noWrap/>
            <w:vAlign w:val="center"/>
          </w:tcPr>
          <w:p w14:paraId="6A711A20"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1,771</w:t>
            </w:r>
          </w:p>
        </w:tc>
        <w:tc>
          <w:tcPr>
            <w:tcW w:w="1497" w:type="dxa"/>
            <w:tcBorders>
              <w:left w:val="nil"/>
              <w:right w:val="nil"/>
            </w:tcBorders>
            <w:shd w:val="clear" w:color="auto" w:fill="auto"/>
            <w:noWrap/>
            <w:vAlign w:val="center"/>
          </w:tcPr>
          <w:p w14:paraId="10042F72"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1,033</w:t>
            </w:r>
          </w:p>
        </w:tc>
      </w:tr>
      <w:tr w:rsidR="00DA54F3" w:rsidRPr="001B02FE" w14:paraId="6E0D3471" w14:textId="77777777" w:rsidTr="00A535DB">
        <w:trPr>
          <w:trHeight w:val="263"/>
        </w:trPr>
        <w:tc>
          <w:tcPr>
            <w:tcW w:w="5953" w:type="dxa"/>
            <w:tcBorders>
              <w:left w:val="nil"/>
              <w:bottom w:val="single" w:sz="4" w:space="0" w:color="auto"/>
              <w:right w:val="nil"/>
            </w:tcBorders>
            <w:shd w:val="clear" w:color="auto" w:fill="auto"/>
            <w:noWrap/>
            <w:vAlign w:val="center"/>
          </w:tcPr>
          <w:p w14:paraId="1B2B3152"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Deferred tax</w:t>
            </w:r>
          </w:p>
        </w:tc>
        <w:tc>
          <w:tcPr>
            <w:tcW w:w="739" w:type="dxa"/>
            <w:tcBorders>
              <w:left w:val="nil"/>
              <w:bottom w:val="single" w:sz="4" w:space="0" w:color="auto"/>
              <w:right w:val="nil"/>
            </w:tcBorders>
            <w:vAlign w:val="center"/>
          </w:tcPr>
          <w:p w14:paraId="630FE9CF" w14:textId="169B8B21" w:rsidR="00DA54F3" w:rsidRPr="001B02FE" w:rsidRDefault="00DA54F3" w:rsidP="00A535DB">
            <w:pPr>
              <w:spacing w:after="0" w:line="240" w:lineRule="auto"/>
              <w:jc w:val="center"/>
              <w:rPr>
                <w:rFonts w:eastAsia="Times New Roman" w:cstheme="minorHAnsi"/>
                <w:sz w:val="20"/>
                <w:szCs w:val="20"/>
                <w:lang w:eastAsia="en-GB"/>
              </w:rPr>
            </w:pPr>
            <w:r w:rsidRPr="001B02FE">
              <w:rPr>
                <w:rFonts w:eastAsia="Times New Roman" w:cstheme="minorHAnsi"/>
                <w:sz w:val="20"/>
                <w:szCs w:val="20"/>
                <w:lang w:eastAsia="en-GB"/>
              </w:rPr>
              <w:t>1</w:t>
            </w:r>
            <w:r w:rsidR="00FA091D">
              <w:rPr>
                <w:rFonts w:eastAsia="Times New Roman" w:cstheme="minorHAnsi"/>
                <w:sz w:val="20"/>
                <w:szCs w:val="20"/>
                <w:lang w:eastAsia="en-GB"/>
              </w:rPr>
              <w:t>1</w:t>
            </w:r>
          </w:p>
        </w:tc>
        <w:tc>
          <w:tcPr>
            <w:tcW w:w="1496" w:type="dxa"/>
            <w:tcBorders>
              <w:left w:val="nil"/>
              <w:bottom w:val="single" w:sz="4" w:space="0" w:color="auto"/>
              <w:right w:val="nil"/>
            </w:tcBorders>
            <w:shd w:val="clear" w:color="auto" w:fill="auto"/>
            <w:noWrap/>
            <w:vAlign w:val="center"/>
          </w:tcPr>
          <w:p w14:paraId="74898DED"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919</w:t>
            </w:r>
          </w:p>
        </w:tc>
        <w:tc>
          <w:tcPr>
            <w:tcW w:w="1497" w:type="dxa"/>
            <w:tcBorders>
              <w:left w:val="nil"/>
              <w:bottom w:val="single" w:sz="4" w:space="0" w:color="auto"/>
              <w:right w:val="nil"/>
            </w:tcBorders>
            <w:shd w:val="clear" w:color="auto" w:fill="auto"/>
            <w:noWrap/>
            <w:vAlign w:val="center"/>
          </w:tcPr>
          <w:p w14:paraId="5C16B43B"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1,430</w:t>
            </w:r>
          </w:p>
        </w:tc>
      </w:tr>
      <w:tr w:rsidR="00DA54F3" w:rsidRPr="001B02FE" w14:paraId="4371684B" w14:textId="77777777" w:rsidTr="00A535DB">
        <w:trPr>
          <w:trHeight w:val="263"/>
        </w:trPr>
        <w:tc>
          <w:tcPr>
            <w:tcW w:w="5953" w:type="dxa"/>
            <w:tcBorders>
              <w:top w:val="single" w:sz="4" w:space="0" w:color="auto"/>
              <w:left w:val="nil"/>
              <w:bottom w:val="single" w:sz="4" w:space="0" w:color="auto"/>
              <w:right w:val="nil"/>
            </w:tcBorders>
            <w:shd w:val="clear" w:color="auto" w:fill="auto"/>
            <w:noWrap/>
            <w:vAlign w:val="center"/>
          </w:tcPr>
          <w:p w14:paraId="0BA1BA4E" w14:textId="77777777" w:rsidR="00DA54F3" w:rsidRPr="001B02FE" w:rsidRDefault="00DA54F3" w:rsidP="00A535DB">
            <w:pPr>
              <w:spacing w:after="0" w:line="240" w:lineRule="auto"/>
              <w:rPr>
                <w:rFonts w:eastAsia="Times New Roman" w:cstheme="minorHAnsi"/>
                <w:b/>
                <w:sz w:val="20"/>
                <w:szCs w:val="20"/>
                <w:lang w:eastAsia="en-GB"/>
              </w:rPr>
            </w:pPr>
            <w:r w:rsidRPr="001B02FE">
              <w:rPr>
                <w:rFonts w:eastAsia="Times New Roman" w:cstheme="minorHAnsi"/>
                <w:b/>
                <w:sz w:val="20"/>
                <w:szCs w:val="20"/>
                <w:lang w:eastAsia="en-GB"/>
              </w:rPr>
              <w:t>Total non-current assets</w:t>
            </w:r>
          </w:p>
        </w:tc>
        <w:tc>
          <w:tcPr>
            <w:tcW w:w="739" w:type="dxa"/>
            <w:tcBorders>
              <w:top w:val="single" w:sz="4" w:space="0" w:color="auto"/>
              <w:left w:val="nil"/>
              <w:bottom w:val="single" w:sz="4" w:space="0" w:color="auto"/>
              <w:right w:val="nil"/>
            </w:tcBorders>
            <w:vAlign w:val="center"/>
          </w:tcPr>
          <w:p w14:paraId="56750180"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single" w:sz="4" w:space="0" w:color="auto"/>
              <w:left w:val="nil"/>
              <w:bottom w:val="single" w:sz="4" w:space="0" w:color="auto"/>
              <w:right w:val="nil"/>
            </w:tcBorders>
            <w:shd w:val="clear" w:color="auto" w:fill="auto"/>
            <w:noWrap/>
            <w:vAlign w:val="center"/>
          </w:tcPr>
          <w:p w14:paraId="61C76A0F"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36,445</w:t>
            </w:r>
          </w:p>
        </w:tc>
        <w:tc>
          <w:tcPr>
            <w:tcW w:w="1497" w:type="dxa"/>
            <w:tcBorders>
              <w:top w:val="single" w:sz="4" w:space="0" w:color="auto"/>
              <w:left w:val="nil"/>
              <w:bottom w:val="single" w:sz="4" w:space="0" w:color="auto"/>
              <w:right w:val="nil"/>
            </w:tcBorders>
            <w:shd w:val="clear" w:color="auto" w:fill="auto"/>
            <w:noWrap/>
            <w:vAlign w:val="center"/>
          </w:tcPr>
          <w:p w14:paraId="3A3CA421"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36,205</w:t>
            </w:r>
          </w:p>
        </w:tc>
      </w:tr>
      <w:tr w:rsidR="00DA54F3" w:rsidRPr="001B02FE" w14:paraId="5779B87A" w14:textId="77777777" w:rsidTr="00A535DB">
        <w:trPr>
          <w:trHeight w:val="263"/>
        </w:trPr>
        <w:tc>
          <w:tcPr>
            <w:tcW w:w="5953" w:type="dxa"/>
            <w:tcBorders>
              <w:top w:val="nil"/>
              <w:left w:val="nil"/>
              <w:bottom w:val="nil"/>
              <w:right w:val="nil"/>
            </w:tcBorders>
            <w:shd w:val="clear" w:color="auto" w:fill="auto"/>
            <w:noWrap/>
            <w:vAlign w:val="center"/>
          </w:tcPr>
          <w:p w14:paraId="70BAEB12"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Current assets</w:t>
            </w:r>
          </w:p>
        </w:tc>
        <w:tc>
          <w:tcPr>
            <w:tcW w:w="739" w:type="dxa"/>
            <w:tcBorders>
              <w:top w:val="nil"/>
              <w:left w:val="nil"/>
              <w:bottom w:val="nil"/>
              <w:right w:val="nil"/>
            </w:tcBorders>
            <w:vAlign w:val="center"/>
          </w:tcPr>
          <w:p w14:paraId="4DD90BF9"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bottom w:val="nil"/>
              <w:right w:val="nil"/>
            </w:tcBorders>
            <w:shd w:val="clear" w:color="auto" w:fill="auto"/>
            <w:noWrap/>
            <w:vAlign w:val="center"/>
          </w:tcPr>
          <w:p w14:paraId="1AAD21CE"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p>
        </w:tc>
        <w:tc>
          <w:tcPr>
            <w:tcW w:w="1497" w:type="dxa"/>
            <w:tcBorders>
              <w:top w:val="nil"/>
              <w:left w:val="nil"/>
              <w:bottom w:val="nil"/>
              <w:right w:val="nil"/>
            </w:tcBorders>
            <w:shd w:val="clear" w:color="auto" w:fill="auto"/>
            <w:noWrap/>
            <w:vAlign w:val="center"/>
          </w:tcPr>
          <w:p w14:paraId="7EF6A736"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p>
        </w:tc>
      </w:tr>
      <w:tr w:rsidR="00DA54F3" w:rsidRPr="001B02FE" w14:paraId="00672F93" w14:textId="77777777" w:rsidTr="00A535DB">
        <w:trPr>
          <w:trHeight w:val="263"/>
        </w:trPr>
        <w:tc>
          <w:tcPr>
            <w:tcW w:w="5953" w:type="dxa"/>
            <w:tcBorders>
              <w:top w:val="nil"/>
              <w:left w:val="nil"/>
              <w:bottom w:val="nil"/>
              <w:right w:val="nil"/>
            </w:tcBorders>
            <w:shd w:val="clear" w:color="auto" w:fill="auto"/>
            <w:noWrap/>
            <w:vAlign w:val="center"/>
          </w:tcPr>
          <w:p w14:paraId="73A715E1"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Inventories</w:t>
            </w:r>
          </w:p>
        </w:tc>
        <w:tc>
          <w:tcPr>
            <w:tcW w:w="739" w:type="dxa"/>
            <w:tcBorders>
              <w:top w:val="nil"/>
              <w:left w:val="nil"/>
              <w:bottom w:val="nil"/>
              <w:right w:val="nil"/>
            </w:tcBorders>
            <w:vAlign w:val="center"/>
          </w:tcPr>
          <w:p w14:paraId="6BFF58B7" w14:textId="683521FD" w:rsidR="00DA54F3" w:rsidRPr="001B02FE" w:rsidRDefault="00FA091D" w:rsidP="00A535DB">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8</w:t>
            </w:r>
          </w:p>
        </w:tc>
        <w:tc>
          <w:tcPr>
            <w:tcW w:w="1496" w:type="dxa"/>
            <w:tcBorders>
              <w:top w:val="nil"/>
              <w:left w:val="nil"/>
              <w:bottom w:val="nil"/>
              <w:right w:val="nil"/>
            </w:tcBorders>
            <w:shd w:val="clear" w:color="auto" w:fill="auto"/>
            <w:noWrap/>
            <w:vAlign w:val="center"/>
          </w:tcPr>
          <w:p w14:paraId="3DFB479C"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6,141</w:t>
            </w:r>
          </w:p>
        </w:tc>
        <w:tc>
          <w:tcPr>
            <w:tcW w:w="1497" w:type="dxa"/>
            <w:tcBorders>
              <w:top w:val="nil"/>
              <w:left w:val="nil"/>
              <w:bottom w:val="nil"/>
              <w:right w:val="nil"/>
            </w:tcBorders>
            <w:shd w:val="clear" w:color="auto" w:fill="auto"/>
            <w:noWrap/>
            <w:vAlign w:val="center"/>
          </w:tcPr>
          <w:p w14:paraId="6BF7117F"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7,102</w:t>
            </w:r>
          </w:p>
        </w:tc>
      </w:tr>
      <w:tr w:rsidR="00DA54F3" w:rsidRPr="001B02FE" w14:paraId="3FF451FE" w14:textId="77777777" w:rsidTr="00A535DB">
        <w:trPr>
          <w:trHeight w:val="263"/>
        </w:trPr>
        <w:tc>
          <w:tcPr>
            <w:tcW w:w="5953" w:type="dxa"/>
            <w:tcBorders>
              <w:top w:val="nil"/>
              <w:left w:val="nil"/>
              <w:bottom w:val="nil"/>
              <w:right w:val="nil"/>
            </w:tcBorders>
            <w:shd w:val="clear" w:color="auto" w:fill="auto"/>
            <w:noWrap/>
            <w:vAlign w:val="center"/>
          </w:tcPr>
          <w:p w14:paraId="1198C663"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Trade and other receivables</w:t>
            </w:r>
          </w:p>
        </w:tc>
        <w:tc>
          <w:tcPr>
            <w:tcW w:w="739" w:type="dxa"/>
            <w:tcBorders>
              <w:top w:val="nil"/>
              <w:left w:val="nil"/>
              <w:bottom w:val="nil"/>
              <w:right w:val="nil"/>
            </w:tcBorders>
            <w:vAlign w:val="center"/>
          </w:tcPr>
          <w:p w14:paraId="2CFF8F58" w14:textId="5965DF2B" w:rsidR="00DA54F3" w:rsidRPr="001B02FE" w:rsidRDefault="00FA091D" w:rsidP="00A535DB">
            <w:pPr>
              <w:spacing w:after="0" w:line="240" w:lineRule="auto"/>
              <w:jc w:val="center"/>
              <w:rPr>
                <w:rFonts w:eastAsia="Times New Roman" w:cstheme="minorHAnsi"/>
                <w:sz w:val="20"/>
                <w:szCs w:val="20"/>
                <w:lang w:eastAsia="en-GB"/>
              </w:rPr>
            </w:pPr>
            <w:r>
              <w:rPr>
                <w:rFonts w:eastAsia="Times New Roman" w:cstheme="minorHAnsi"/>
                <w:sz w:val="20"/>
                <w:szCs w:val="20"/>
                <w:lang w:eastAsia="en-GB"/>
              </w:rPr>
              <w:t>9</w:t>
            </w:r>
          </w:p>
        </w:tc>
        <w:tc>
          <w:tcPr>
            <w:tcW w:w="1496" w:type="dxa"/>
            <w:tcBorders>
              <w:top w:val="nil"/>
              <w:left w:val="nil"/>
              <w:bottom w:val="nil"/>
              <w:right w:val="nil"/>
            </w:tcBorders>
            <w:shd w:val="clear" w:color="auto" w:fill="auto"/>
            <w:noWrap/>
            <w:vAlign w:val="center"/>
          </w:tcPr>
          <w:p w14:paraId="632B00D5"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10,927</w:t>
            </w:r>
          </w:p>
        </w:tc>
        <w:tc>
          <w:tcPr>
            <w:tcW w:w="1497" w:type="dxa"/>
            <w:tcBorders>
              <w:top w:val="nil"/>
              <w:left w:val="nil"/>
              <w:bottom w:val="nil"/>
              <w:right w:val="nil"/>
            </w:tcBorders>
            <w:shd w:val="clear" w:color="auto" w:fill="auto"/>
            <w:noWrap/>
            <w:vAlign w:val="center"/>
          </w:tcPr>
          <w:p w14:paraId="03CBE3F1"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8,939</w:t>
            </w:r>
          </w:p>
        </w:tc>
      </w:tr>
      <w:tr w:rsidR="00DA54F3" w:rsidRPr="001B02FE" w14:paraId="504A8A0B" w14:textId="77777777" w:rsidTr="00A535DB">
        <w:trPr>
          <w:trHeight w:val="263"/>
        </w:trPr>
        <w:tc>
          <w:tcPr>
            <w:tcW w:w="5953" w:type="dxa"/>
            <w:tcBorders>
              <w:top w:val="nil"/>
              <w:left w:val="nil"/>
              <w:bottom w:val="single" w:sz="4" w:space="0" w:color="auto"/>
              <w:right w:val="nil"/>
            </w:tcBorders>
            <w:shd w:val="clear" w:color="auto" w:fill="auto"/>
            <w:noWrap/>
            <w:vAlign w:val="center"/>
          </w:tcPr>
          <w:p w14:paraId="1AFA5504"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Cash and cash equivalents</w:t>
            </w:r>
          </w:p>
        </w:tc>
        <w:tc>
          <w:tcPr>
            <w:tcW w:w="739" w:type="dxa"/>
            <w:tcBorders>
              <w:top w:val="nil"/>
              <w:left w:val="nil"/>
              <w:bottom w:val="single" w:sz="4" w:space="0" w:color="auto"/>
              <w:right w:val="nil"/>
            </w:tcBorders>
            <w:vAlign w:val="center"/>
          </w:tcPr>
          <w:p w14:paraId="109C48D5" w14:textId="342F62EB"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bottom w:val="single" w:sz="4" w:space="0" w:color="auto"/>
              <w:right w:val="nil"/>
            </w:tcBorders>
            <w:shd w:val="clear" w:color="auto" w:fill="auto"/>
            <w:noWrap/>
            <w:vAlign w:val="center"/>
          </w:tcPr>
          <w:p w14:paraId="56A2C6B4"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5,371</w:t>
            </w:r>
          </w:p>
        </w:tc>
        <w:tc>
          <w:tcPr>
            <w:tcW w:w="1497" w:type="dxa"/>
            <w:tcBorders>
              <w:top w:val="nil"/>
              <w:left w:val="nil"/>
              <w:bottom w:val="single" w:sz="4" w:space="0" w:color="auto"/>
              <w:right w:val="nil"/>
            </w:tcBorders>
            <w:shd w:val="clear" w:color="auto" w:fill="auto"/>
            <w:noWrap/>
            <w:vAlign w:val="center"/>
          </w:tcPr>
          <w:p w14:paraId="3DADD17D"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8,002</w:t>
            </w:r>
          </w:p>
        </w:tc>
      </w:tr>
      <w:tr w:rsidR="00DA54F3" w:rsidRPr="001B02FE" w14:paraId="1B08B887" w14:textId="77777777" w:rsidTr="00A535DB">
        <w:trPr>
          <w:trHeight w:val="263"/>
        </w:trPr>
        <w:tc>
          <w:tcPr>
            <w:tcW w:w="5953" w:type="dxa"/>
            <w:tcBorders>
              <w:top w:val="single" w:sz="4" w:space="0" w:color="auto"/>
              <w:left w:val="nil"/>
              <w:bottom w:val="single" w:sz="4" w:space="0" w:color="auto"/>
              <w:right w:val="nil"/>
            </w:tcBorders>
            <w:shd w:val="clear" w:color="auto" w:fill="auto"/>
            <w:noWrap/>
            <w:vAlign w:val="center"/>
          </w:tcPr>
          <w:p w14:paraId="569E9579" w14:textId="77777777" w:rsidR="00DA54F3" w:rsidRPr="001B02FE" w:rsidRDefault="00DA54F3" w:rsidP="00A535DB">
            <w:pPr>
              <w:spacing w:after="0" w:line="240" w:lineRule="auto"/>
              <w:rPr>
                <w:rFonts w:eastAsia="Times New Roman" w:cstheme="minorHAnsi"/>
                <w:b/>
                <w:sz w:val="20"/>
                <w:szCs w:val="20"/>
                <w:lang w:eastAsia="en-GB"/>
              </w:rPr>
            </w:pPr>
            <w:r w:rsidRPr="001B02FE">
              <w:rPr>
                <w:rFonts w:eastAsia="Times New Roman" w:cstheme="minorHAnsi"/>
                <w:b/>
                <w:sz w:val="20"/>
                <w:szCs w:val="20"/>
                <w:lang w:eastAsia="en-GB"/>
              </w:rPr>
              <w:t>Total current assets</w:t>
            </w:r>
          </w:p>
        </w:tc>
        <w:tc>
          <w:tcPr>
            <w:tcW w:w="739" w:type="dxa"/>
            <w:tcBorders>
              <w:top w:val="single" w:sz="4" w:space="0" w:color="auto"/>
              <w:left w:val="nil"/>
              <w:bottom w:val="single" w:sz="4" w:space="0" w:color="auto"/>
              <w:right w:val="nil"/>
            </w:tcBorders>
            <w:vAlign w:val="center"/>
          </w:tcPr>
          <w:p w14:paraId="1CD915C1"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single" w:sz="4" w:space="0" w:color="auto"/>
              <w:left w:val="nil"/>
              <w:bottom w:val="single" w:sz="4" w:space="0" w:color="auto"/>
              <w:right w:val="nil"/>
            </w:tcBorders>
            <w:shd w:val="clear" w:color="auto" w:fill="auto"/>
            <w:noWrap/>
            <w:vAlign w:val="center"/>
          </w:tcPr>
          <w:p w14:paraId="4F245BF0"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22,439</w:t>
            </w:r>
          </w:p>
        </w:tc>
        <w:tc>
          <w:tcPr>
            <w:tcW w:w="1497" w:type="dxa"/>
            <w:tcBorders>
              <w:top w:val="single" w:sz="4" w:space="0" w:color="auto"/>
              <w:left w:val="nil"/>
              <w:bottom w:val="single" w:sz="4" w:space="0" w:color="auto"/>
              <w:right w:val="nil"/>
            </w:tcBorders>
            <w:shd w:val="clear" w:color="auto" w:fill="auto"/>
            <w:noWrap/>
            <w:vAlign w:val="center"/>
          </w:tcPr>
          <w:p w14:paraId="40E7E353"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24,043</w:t>
            </w:r>
          </w:p>
        </w:tc>
      </w:tr>
      <w:tr w:rsidR="00DA54F3" w:rsidRPr="001B02FE" w14:paraId="07B19FBB" w14:textId="77777777" w:rsidTr="00A535DB">
        <w:trPr>
          <w:trHeight w:val="263"/>
        </w:trPr>
        <w:tc>
          <w:tcPr>
            <w:tcW w:w="5953" w:type="dxa"/>
            <w:tcBorders>
              <w:top w:val="single" w:sz="4" w:space="0" w:color="auto"/>
              <w:left w:val="nil"/>
              <w:bottom w:val="single" w:sz="12" w:space="0" w:color="auto"/>
              <w:right w:val="nil"/>
            </w:tcBorders>
            <w:shd w:val="clear" w:color="auto" w:fill="auto"/>
            <w:noWrap/>
            <w:vAlign w:val="center"/>
          </w:tcPr>
          <w:p w14:paraId="389BD08F" w14:textId="77777777" w:rsidR="00DA54F3" w:rsidRPr="001B02FE" w:rsidRDefault="00DA54F3" w:rsidP="00A535DB">
            <w:pPr>
              <w:spacing w:after="0" w:line="240" w:lineRule="auto"/>
              <w:rPr>
                <w:rFonts w:eastAsia="Times New Roman" w:cstheme="minorHAnsi"/>
                <w:sz w:val="20"/>
                <w:szCs w:val="20"/>
                <w:lang w:eastAsia="en-GB"/>
              </w:rPr>
            </w:pPr>
          </w:p>
        </w:tc>
        <w:tc>
          <w:tcPr>
            <w:tcW w:w="739" w:type="dxa"/>
            <w:tcBorders>
              <w:top w:val="single" w:sz="4" w:space="0" w:color="auto"/>
              <w:left w:val="nil"/>
              <w:bottom w:val="single" w:sz="12" w:space="0" w:color="auto"/>
              <w:right w:val="nil"/>
            </w:tcBorders>
            <w:vAlign w:val="center"/>
          </w:tcPr>
          <w:p w14:paraId="4C9CDCA8"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single" w:sz="4" w:space="0" w:color="auto"/>
              <w:left w:val="nil"/>
              <w:bottom w:val="single" w:sz="12" w:space="0" w:color="auto"/>
              <w:right w:val="nil"/>
            </w:tcBorders>
            <w:shd w:val="clear" w:color="auto" w:fill="auto"/>
            <w:noWrap/>
            <w:vAlign w:val="center"/>
          </w:tcPr>
          <w:p w14:paraId="38CA09A6"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p>
        </w:tc>
        <w:tc>
          <w:tcPr>
            <w:tcW w:w="1497" w:type="dxa"/>
            <w:tcBorders>
              <w:top w:val="single" w:sz="4" w:space="0" w:color="auto"/>
              <w:left w:val="nil"/>
              <w:bottom w:val="single" w:sz="12" w:space="0" w:color="auto"/>
              <w:right w:val="nil"/>
            </w:tcBorders>
            <w:shd w:val="clear" w:color="auto" w:fill="auto"/>
            <w:noWrap/>
            <w:vAlign w:val="center"/>
          </w:tcPr>
          <w:p w14:paraId="39E0FF5F"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p>
        </w:tc>
      </w:tr>
      <w:tr w:rsidR="00DA54F3" w:rsidRPr="001B02FE" w14:paraId="1D914353" w14:textId="77777777" w:rsidTr="00A535DB">
        <w:trPr>
          <w:trHeight w:val="263"/>
        </w:trPr>
        <w:tc>
          <w:tcPr>
            <w:tcW w:w="5953" w:type="dxa"/>
            <w:tcBorders>
              <w:top w:val="single" w:sz="12" w:space="0" w:color="auto"/>
              <w:left w:val="nil"/>
              <w:bottom w:val="single" w:sz="12" w:space="0" w:color="auto"/>
              <w:right w:val="nil"/>
            </w:tcBorders>
            <w:shd w:val="clear" w:color="auto" w:fill="auto"/>
            <w:noWrap/>
            <w:vAlign w:val="center"/>
          </w:tcPr>
          <w:p w14:paraId="44496F99" w14:textId="77777777" w:rsidR="00DA54F3" w:rsidRPr="001B02FE" w:rsidRDefault="00DA54F3" w:rsidP="00A535DB">
            <w:pPr>
              <w:spacing w:after="0" w:line="240" w:lineRule="auto"/>
              <w:rPr>
                <w:rFonts w:eastAsia="Times New Roman" w:cstheme="minorHAnsi"/>
                <w:b/>
                <w:sz w:val="20"/>
                <w:szCs w:val="20"/>
                <w:lang w:eastAsia="en-GB"/>
              </w:rPr>
            </w:pPr>
            <w:r w:rsidRPr="001B02FE">
              <w:rPr>
                <w:rFonts w:eastAsia="Times New Roman" w:cstheme="minorHAnsi"/>
                <w:b/>
                <w:sz w:val="20"/>
                <w:szCs w:val="20"/>
                <w:lang w:eastAsia="en-GB"/>
              </w:rPr>
              <w:t>Total assets</w:t>
            </w:r>
          </w:p>
        </w:tc>
        <w:tc>
          <w:tcPr>
            <w:tcW w:w="739" w:type="dxa"/>
            <w:tcBorders>
              <w:top w:val="single" w:sz="12" w:space="0" w:color="auto"/>
              <w:left w:val="nil"/>
              <w:bottom w:val="single" w:sz="12" w:space="0" w:color="auto"/>
              <w:right w:val="nil"/>
            </w:tcBorders>
            <w:vAlign w:val="center"/>
          </w:tcPr>
          <w:p w14:paraId="504B0FEE"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single" w:sz="12" w:space="0" w:color="auto"/>
              <w:left w:val="nil"/>
              <w:bottom w:val="single" w:sz="12" w:space="0" w:color="auto"/>
              <w:right w:val="nil"/>
            </w:tcBorders>
            <w:shd w:val="clear" w:color="auto" w:fill="auto"/>
            <w:noWrap/>
            <w:vAlign w:val="center"/>
          </w:tcPr>
          <w:p w14:paraId="6AAF0502"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58,884</w:t>
            </w:r>
          </w:p>
        </w:tc>
        <w:tc>
          <w:tcPr>
            <w:tcW w:w="1497" w:type="dxa"/>
            <w:tcBorders>
              <w:top w:val="single" w:sz="12" w:space="0" w:color="auto"/>
              <w:left w:val="nil"/>
              <w:bottom w:val="single" w:sz="12" w:space="0" w:color="auto"/>
              <w:right w:val="nil"/>
            </w:tcBorders>
            <w:shd w:val="clear" w:color="auto" w:fill="auto"/>
            <w:noWrap/>
            <w:vAlign w:val="center"/>
          </w:tcPr>
          <w:p w14:paraId="57601EFA"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60,248</w:t>
            </w:r>
          </w:p>
        </w:tc>
      </w:tr>
      <w:tr w:rsidR="00DA54F3" w:rsidRPr="001B02FE" w14:paraId="3C4FD6A7" w14:textId="77777777" w:rsidTr="00A535DB">
        <w:trPr>
          <w:trHeight w:val="263"/>
        </w:trPr>
        <w:tc>
          <w:tcPr>
            <w:tcW w:w="5953" w:type="dxa"/>
            <w:tcBorders>
              <w:top w:val="nil"/>
              <w:left w:val="nil"/>
              <w:bottom w:val="nil"/>
              <w:right w:val="nil"/>
            </w:tcBorders>
            <w:shd w:val="clear" w:color="auto" w:fill="auto"/>
            <w:noWrap/>
            <w:vAlign w:val="center"/>
          </w:tcPr>
          <w:p w14:paraId="68D08D35"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Liabilities</w:t>
            </w:r>
          </w:p>
        </w:tc>
        <w:tc>
          <w:tcPr>
            <w:tcW w:w="739" w:type="dxa"/>
            <w:tcBorders>
              <w:top w:val="nil"/>
              <w:left w:val="nil"/>
              <w:bottom w:val="nil"/>
              <w:right w:val="nil"/>
            </w:tcBorders>
            <w:vAlign w:val="center"/>
          </w:tcPr>
          <w:p w14:paraId="23C62417"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bottom w:val="nil"/>
              <w:right w:val="nil"/>
            </w:tcBorders>
            <w:shd w:val="clear" w:color="auto" w:fill="auto"/>
            <w:noWrap/>
            <w:vAlign w:val="center"/>
          </w:tcPr>
          <w:p w14:paraId="0363472C"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p>
        </w:tc>
        <w:tc>
          <w:tcPr>
            <w:tcW w:w="1497" w:type="dxa"/>
            <w:tcBorders>
              <w:top w:val="nil"/>
              <w:left w:val="nil"/>
              <w:bottom w:val="nil"/>
              <w:right w:val="nil"/>
            </w:tcBorders>
            <w:shd w:val="clear" w:color="auto" w:fill="auto"/>
            <w:noWrap/>
            <w:vAlign w:val="center"/>
          </w:tcPr>
          <w:p w14:paraId="12AE1B09"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p>
        </w:tc>
      </w:tr>
      <w:tr w:rsidR="00DA54F3" w:rsidRPr="001B02FE" w14:paraId="77A8F61E" w14:textId="77777777" w:rsidTr="00A535DB">
        <w:trPr>
          <w:trHeight w:val="263"/>
        </w:trPr>
        <w:tc>
          <w:tcPr>
            <w:tcW w:w="5953" w:type="dxa"/>
            <w:tcBorders>
              <w:top w:val="nil"/>
              <w:left w:val="nil"/>
              <w:bottom w:val="nil"/>
              <w:right w:val="nil"/>
            </w:tcBorders>
            <w:shd w:val="clear" w:color="auto" w:fill="auto"/>
            <w:noWrap/>
            <w:vAlign w:val="center"/>
          </w:tcPr>
          <w:p w14:paraId="5DEA88DA"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b/>
                <w:bCs/>
                <w:sz w:val="20"/>
                <w:szCs w:val="20"/>
                <w:lang w:eastAsia="en-GB"/>
              </w:rPr>
              <w:t>Current liabilities</w:t>
            </w:r>
          </w:p>
        </w:tc>
        <w:tc>
          <w:tcPr>
            <w:tcW w:w="739" w:type="dxa"/>
            <w:tcBorders>
              <w:top w:val="nil"/>
              <w:left w:val="nil"/>
              <w:bottom w:val="nil"/>
              <w:right w:val="nil"/>
            </w:tcBorders>
            <w:vAlign w:val="center"/>
          </w:tcPr>
          <w:p w14:paraId="0990F847" w14:textId="77777777" w:rsidR="00DA54F3" w:rsidRPr="001B02FE" w:rsidRDefault="00DA54F3" w:rsidP="00A535DB">
            <w:pPr>
              <w:spacing w:after="0" w:line="240" w:lineRule="auto"/>
              <w:jc w:val="center"/>
              <w:rPr>
                <w:rFonts w:eastAsia="Times New Roman" w:cstheme="minorHAnsi"/>
                <w:sz w:val="20"/>
                <w:szCs w:val="20"/>
                <w:lang w:eastAsia="en-GB"/>
              </w:rPr>
            </w:pPr>
          </w:p>
          <w:p w14:paraId="1991708C"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right w:val="nil"/>
            </w:tcBorders>
            <w:shd w:val="clear" w:color="auto" w:fill="auto"/>
            <w:noWrap/>
            <w:vAlign w:val="center"/>
          </w:tcPr>
          <w:p w14:paraId="7B975989"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p>
          <w:p w14:paraId="7852E330"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p>
        </w:tc>
        <w:tc>
          <w:tcPr>
            <w:tcW w:w="1497" w:type="dxa"/>
            <w:tcBorders>
              <w:top w:val="nil"/>
              <w:left w:val="nil"/>
              <w:bottom w:val="nil"/>
              <w:right w:val="nil"/>
            </w:tcBorders>
            <w:shd w:val="clear" w:color="auto" w:fill="auto"/>
            <w:noWrap/>
            <w:vAlign w:val="center"/>
          </w:tcPr>
          <w:p w14:paraId="1EE2A38C"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p>
        </w:tc>
      </w:tr>
      <w:tr w:rsidR="00DA54F3" w:rsidRPr="001B02FE" w14:paraId="43AA9912" w14:textId="77777777" w:rsidTr="00A535DB">
        <w:trPr>
          <w:trHeight w:val="263"/>
        </w:trPr>
        <w:tc>
          <w:tcPr>
            <w:tcW w:w="5953" w:type="dxa"/>
            <w:tcBorders>
              <w:top w:val="nil"/>
              <w:left w:val="nil"/>
              <w:bottom w:val="nil"/>
              <w:right w:val="nil"/>
            </w:tcBorders>
            <w:shd w:val="clear" w:color="auto" w:fill="auto"/>
            <w:noWrap/>
            <w:vAlign w:val="center"/>
          </w:tcPr>
          <w:p w14:paraId="27F6C8F2"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sz w:val="20"/>
                <w:szCs w:val="20"/>
                <w:lang w:eastAsia="en-GB"/>
              </w:rPr>
              <w:t>Trade and other payables</w:t>
            </w:r>
          </w:p>
        </w:tc>
        <w:tc>
          <w:tcPr>
            <w:tcW w:w="739" w:type="dxa"/>
            <w:tcBorders>
              <w:top w:val="nil"/>
              <w:left w:val="nil"/>
              <w:bottom w:val="nil"/>
              <w:right w:val="nil"/>
            </w:tcBorders>
            <w:vAlign w:val="center"/>
          </w:tcPr>
          <w:p w14:paraId="4187C30E" w14:textId="18F2933C" w:rsidR="00DA54F3" w:rsidRPr="001B02FE" w:rsidRDefault="00DA54F3" w:rsidP="00A535DB">
            <w:pPr>
              <w:spacing w:after="0" w:line="240" w:lineRule="auto"/>
              <w:jc w:val="center"/>
              <w:rPr>
                <w:rFonts w:eastAsia="Times New Roman" w:cstheme="minorHAnsi"/>
                <w:sz w:val="20"/>
                <w:szCs w:val="20"/>
                <w:lang w:eastAsia="en-GB"/>
              </w:rPr>
            </w:pPr>
            <w:r w:rsidRPr="001B02FE">
              <w:rPr>
                <w:rFonts w:eastAsia="Times New Roman" w:cstheme="minorHAnsi"/>
                <w:sz w:val="20"/>
                <w:szCs w:val="20"/>
                <w:lang w:eastAsia="en-GB"/>
              </w:rPr>
              <w:t>1</w:t>
            </w:r>
            <w:r w:rsidR="00FA091D">
              <w:rPr>
                <w:rFonts w:eastAsia="Times New Roman" w:cstheme="minorHAnsi"/>
                <w:sz w:val="20"/>
                <w:szCs w:val="20"/>
                <w:lang w:eastAsia="en-GB"/>
              </w:rPr>
              <w:t>0</w:t>
            </w:r>
          </w:p>
        </w:tc>
        <w:tc>
          <w:tcPr>
            <w:tcW w:w="1496" w:type="dxa"/>
            <w:tcBorders>
              <w:top w:val="nil"/>
              <w:left w:val="nil"/>
              <w:right w:val="nil"/>
            </w:tcBorders>
            <w:shd w:val="clear" w:color="auto" w:fill="auto"/>
            <w:noWrap/>
            <w:vAlign w:val="center"/>
          </w:tcPr>
          <w:p w14:paraId="1052D372"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(9,954)</w:t>
            </w:r>
          </w:p>
        </w:tc>
        <w:tc>
          <w:tcPr>
            <w:tcW w:w="1497" w:type="dxa"/>
            <w:tcBorders>
              <w:top w:val="nil"/>
              <w:left w:val="nil"/>
              <w:bottom w:val="nil"/>
              <w:right w:val="nil"/>
            </w:tcBorders>
            <w:shd w:val="clear" w:color="auto" w:fill="auto"/>
            <w:noWrap/>
            <w:vAlign w:val="center"/>
          </w:tcPr>
          <w:p w14:paraId="54866A58"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(7,970)</w:t>
            </w:r>
          </w:p>
        </w:tc>
      </w:tr>
      <w:tr w:rsidR="00DA54F3" w:rsidRPr="001B02FE" w14:paraId="68C42260" w14:textId="77777777" w:rsidTr="00A535DB">
        <w:trPr>
          <w:trHeight w:val="263"/>
        </w:trPr>
        <w:tc>
          <w:tcPr>
            <w:tcW w:w="5953" w:type="dxa"/>
            <w:tcBorders>
              <w:top w:val="nil"/>
              <w:left w:val="nil"/>
              <w:bottom w:val="nil"/>
              <w:right w:val="nil"/>
            </w:tcBorders>
            <w:shd w:val="clear" w:color="auto" w:fill="auto"/>
            <w:noWrap/>
            <w:vAlign w:val="center"/>
          </w:tcPr>
          <w:p w14:paraId="02BF1EFC" w14:textId="77777777" w:rsidR="00DA54F3" w:rsidRPr="001B02FE" w:rsidRDefault="00DA54F3" w:rsidP="00A535DB">
            <w:pPr>
              <w:spacing w:after="0" w:line="240" w:lineRule="auto"/>
              <w:rPr>
                <w:rFonts w:eastAsia="Times New Roman" w:cstheme="minorHAnsi"/>
                <w:bCs/>
                <w:sz w:val="20"/>
                <w:szCs w:val="20"/>
                <w:lang w:eastAsia="en-GB"/>
              </w:rPr>
            </w:pPr>
            <w:r w:rsidRPr="001B02FE">
              <w:rPr>
                <w:rFonts w:eastAsia="Times New Roman" w:cstheme="minorHAnsi"/>
                <w:bCs/>
                <w:sz w:val="20"/>
                <w:szCs w:val="20"/>
                <w:lang w:eastAsia="en-GB"/>
              </w:rPr>
              <w:t>Lease liabilities</w:t>
            </w:r>
          </w:p>
        </w:tc>
        <w:tc>
          <w:tcPr>
            <w:tcW w:w="739" w:type="dxa"/>
            <w:tcBorders>
              <w:top w:val="nil"/>
              <w:left w:val="nil"/>
              <w:bottom w:val="nil"/>
              <w:right w:val="nil"/>
            </w:tcBorders>
            <w:vAlign w:val="center"/>
          </w:tcPr>
          <w:p w14:paraId="79145C0C" w14:textId="2D0731AD"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right w:val="nil"/>
            </w:tcBorders>
            <w:shd w:val="clear" w:color="auto" w:fill="auto"/>
            <w:noWrap/>
            <w:vAlign w:val="center"/>
          </w:tcPr>
          <w:p w14:paraId="1D1C228A"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(164)</w:t>
            </w:r>
          </w:p>
        </w:tc>
        <w:tc>
          <w:tcPr>
            <w:tcW w:w="1497" w:type="dxa"/>
            <w:tcBorders>
              <w:top w:val="nil"/>
              <w:left w:val="nil"/>
              <w:bottom w:val="nil"/>
              <w:right w:val="nil"/>
            </w:tcBorders>
            <w:shd w:val="clear" w:color="auto" w:fill="auto"/>
            <w:noWrap/>
            <w:vAlign w:val="center"/>
          </w:tcPr>
          <w:p w14:paraId="5B65BB02"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p>
        </w:tc>
      </w:tr>
      <w:tr w:rsidR="00DA54F3" w:rsidRPr="001B02FE" w14:paraId="3099F91E" w14:textId="77777777" w:rsidTr="00A535DB">
        <w:trPr>
          <w:trHeight w:val="263"/>
        </w:trPr>
        <w:tc>
          <w:tcPr>
            <w:tcW w:w="5953" w:type="dxa"/>
            <w:tcBorders>
              <w:top w:val="nil"/>
              <w:left w:val="nil"/>
              <w:bottom w:val="nil"/>
              <w:right w:val="nil"/>
            </w:tcBorders>
            <w:shd w:val="clear" w:color="auto" w:fill="auto"/>
            <w:noWrap/>
            <w:vAlign w:val="center"/>
          </w:tcPr>
          <w:p w14:paraId="4767B73C"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Hire purchase agreement</w:t>
            </w:r>
          </w:p>
        </w:tc>
        <w:tc>
          <w:tcPr>
            <w:tcW w:w="739" w:type="dxa"/>
            <w:tcBorders>
              <w:top w:val="nil"/>
              <w:left w:val="nil"/>
              <w:bottom w:val="nil"/>
              <w:right w:val="nil"/>
            </w:tcBorders>
            <w:vAlign w:val="center"/>
          </w:tcPr>
          <w:p w14:paraId="70ED4406" w14:textId="08097B44"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right w:val="nil"/>
            </w:tcBorders>
            <w:shd w:val="clear" w:color="auto" w:fill="auto"/>
            <w:noWrap/>
            <w:vAlign w:val="center"/>
          </w:tcPr>
          <w:p w14:paraId="5957821B"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(77)</w:t>
            </w:r>
          </w:p>
        </w:tc>
        <w:tc>
          <w:tcPr>
            <w:tcW w:w="1497" w:type="dxa"/>
            <w:tcBorders>
              <w:top w:val="nil"/>
              <w:left w:val="nil"/>
              <w:bottom w:val="nil"/>
              <w:right w:val="nil"/>
            </w:tcBorders>
            <w:shd w:val="clear" w:color="auto" w:fill="auto"/>
            <w:noWrap/>
            <w:vAlign w:val="center"/>
          </w:tcPr>
          <w:p w14:paraId="0D271D41"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w:t>
            </w:r>
          </w:p>
        </w:tc>
      </w:tr>
      <w:tr w:rsidR="00DA54F3" w:rsidRPr="001B02FE" w14:paraId="1501FA84" w14:textId="77777777" w:rsidTr="00A535DB">
        <w:trPr>
          <w:trHeight w:val="263"/>
        </w:trPr>
        <w:tc>
          <w:tcPr>
            <w:tcW w:w="5953" w:type="dxa"/>
            <w:tcBorders>
              <w:top w:val="nil"/>
              <w:left w:val="nil"/>
              <w:bottom w:val="nil"/>
              <w:right w:val="nil"/>
            </w:tcBorders>
            <w:shd w:val="clear" w:color="auto" w:fill="auto"/>
            <w:noWrap/>
            <w:vAlign w:val="center"/>
          </w:tcPr>
          <w:p w14:paraId="1DF6B7B6"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Derivative financial liabilities</w:t>
            </w:r>
          </w:p>
        </w:tc>
        <w:tc>
          <w:tcPr>
            <w:tcW w:w="739" w:type="dxa"/>
            <w:tcBorders>
              <w:top w:val="nil"/>
              <w:left w:val="nil"/>
              <w:bottom w:val="nil"/>
              <w:right w:val="nil"/>
            </w:tcBorders>
            <w:vAlign w:val="center"/>
          </w:tcPr>
          <w:p w14:paraId="1CF2835B" w14:textId="6ECA82C4"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right w:val="nil"/>
            </w:tcBorders>
            <w:shd w:val="clear" w:color="auto" w:fill="auto"/>
            <w:noWrap/>
            <w:vAlign w:val="center"/>
          </w:tcPr>
          <w:p w14:paraId="1EA6036A"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(181)</w:t>
            </w:r>
          </w:p>
        </w:tc>
        <w:tc>
          <w:tcPr>
            <w:tcW w:w="1497" w:type="dxa"/>
            <w:tcBorders>
              <w:top w:val="nil"/>
              <w:left w:val="nil"/>
              <w:bottom w:val="nil"/>
              <w:right w:val="nil"/>
            </w:tcBorders>
            <w:shd w:val="clear" w:color="auto" w:fill="auto"/>
            <w:noWrap/>
            <w:vAlign w:val="center"/>
          </w:tcPr>
          <w:p w14:paraId="61DDCCAD"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w:t>
            </w:r>
          </w:p>
        </w:tc>
      </w:tr>
      <w:tr w:rsidR="00DA54F3" w:rsidRPr="001B02FE" w14:paraId="653B2E30" w14:textId="77777777" w:rsidTr="00A535DB">
        <w:trPr>
          <w:trHeight w:val="263"/>
        </w:trPr>
        <w:tc>
          <w:tcPr>
            <w:tcW w:w="5953" w:type="dxa"/>
            <w:tcBorders>
              <w:top w:val="single" w:sz="8" w:space="0" w:color="auto"/>
              <w:left w:val="nil"/>
              <w:bottom w:val="single" w:sz="8" w:space="0" w:color="auto"/>
              <w:right w:val="nil"/>
            </w:tcBorders>
            <w:shd w:val="clear" w:color="auto" w:fill="auto"/>
            <w:noWrap/>
            <w:vAlign w:val="center"/>
          </w:tcPr>
          <w:p w14:paraId="07F4627D" w14:textId="77777777" w:rsidR="00DA54F3" w:rsidRPr="001B02FE" w:rsidRDefault="00DA54F3" w:rsidP="00A535DB">
            <w:pPr>
              <w:spacing w:after="0" w:line="240" w:lineRule="auto"/>
              <w:rPr>
                <w:rFonts w:eastAsia="Times New Roman" w:cstheme="minorHAnsi"/>
                <w:b/>
                <w:sz w:val="20"/>
                <w:szCs w:val="20"/>
                <w:lang w:eastAsia="en-GB"/>
              </w:rPr>
            </w:pPr>
            <w:r w:rsidRPr="001B02FE">
              <w:rPr>
                <w:rFonts w:eastAsia="Times New Roman" w:cstheme="minorHAnsi"/>
                <w:b/>
                <w:sz w:val="20"/>
                <w:szCs w:val="20"/>
                <w:lang w:eastAsia="en-GB"/>
              </w:rPr>
              <w:t>Total current liabilities</w:t>
            </w:r>
          </w:p>
        </w:tc>
        <w:tc>
          <w:tcPr>
            <w:tcW w:w="739" w:type="dxa"/>
            <w:tcBorders>
              <w:top w:val="single" w:sz="8" w:space="0" w:color="auto"/>
              <w:left w:val="nil"/>
              <w:bottom w:val="single" w:sz="8" w:space="0" w:color="auto"/>
              <w:right w:val="nil"/>
            </w:tcBorders>
            <w:vAlign w:val="center"/>
          </w:tcPr>
          <w:p w14:paraId="4573024B"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496" w:type="dxa"/>
            <w:tcBorders>
              <w:top w:val="single" w:sz="8" w:space="0" w:color="auto"/>
              <w:left w:val="nil"/>
              <w:bottom w:val="single" w:sz="8" w:space="0" w:color="auto"/>
              <w:right w:val="nil"/>
            </w:tcBorders>
            <w:shd w:val="clear" w:color="auto" w:fill="auto"/>
            <w:noWrap/>
            <w:vAlign w:val="center"/>
          </w:tcPr>
          <w:p w14:paraId="682BC984"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(10,376)</w:t>
            </w:r>
          </w:p>
        </w:tc>
        <w:tc>
          <w:tcPr>
            <w:tcW w:w="1497" w:type="dxa"/>
            <w:tcBorders>
              <w:top w:val="single" w:sz="8" w:space="0" w:color="auto"/>
              <w:left w:val="nil"/>
              <w:bottom w:val="single" w:sz="8" w:space="0" w:color="auto"/>
              <w:right w:val="nil"/>
            </w:tcBorders>
            <w:shd w:val="clear" w:color="auto" w:fill="auto"/>
            <w:noWrap/>
            <w:vAlign w:val="center"/>
          </w:tcPr>
          <w:p w14:paraId="72DEB7B9"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(7,970)</w:t>
            </w:r>
          </w:p>
        </w:tc>
      </w:tr>
      <w:tr w:rsidR="00DA54F3" w:rsidRPr="001B02FE" w14:paraId="5EE1C4D9" w14:textId="77777777" w:rsidTr="00A535DB">
        <w:trPr>
          <w:trHeight w:val="263"/>
        </w:trPr>
        <w:tc>
          <w:tcPr>
            <w:tcW w:w="5953" w:type="dxa"/>
            <w:tcBorders>
              <w:top w:val="single" w:sz="8" w:space="0" w:color="auto"/>
              <w:left w:val="nil"/>
              <w:right w:val="nil"/>
            </w:tcBorders>
            <w:shd w:val="clear" w:color="auto" w:fill="auto"/>
            <w:noWrap/>
            <w:vAlign w:val="center"/>
          </w:tcPr>
          <w:p w14:paraId="2A67DC8D" w14:textId="77777777" w:rsidR="00DA54F3" w:rsidRPr="001B02FE" w:rsidRDefault="00DA54F3" w:rsidP="00A535DB">
            <w:pPr>
              <w:spacing w:after="0" w:line="240" w:lineRule="auto"/>
              <w:rPr>
                <w:rFonts w:eastAsia="Times New Roman" w:cstheme="minorHAnsi"/>
                <w:b/>
                <w:sz w:val="20"/>
                <w:szCs w:val="20"/>
                <w:lang w:eastAsia="en-GB"/>
              </w:rPr>
            </w:pPr>
          </w:p>
        </w:tc>
        <w:tc>
          <w:tcPr>
            <w:tcW w:w="739" w:type="dxa"/>
            <w:tcBorders>
              <w:top w:val="single" w:sz="8" w:space="0" w:color="auto"/>
              <w:left w:val="nil"/>
              <w:right w:val="nil"/>
            </w:tcBorders>
            <w:vAlign w:val="center"/>
          </w:tcPr>
          <w:p w14:paraId="6D84E363"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496" w:type="dxa"/>
            <w:tcBorders>
              <w:top w:val="single" w:sz="8" w:space="0" w:color="auto"/>
              <w:left w:val="nil"/>
              <w:right w:val="nil"/>
            </w:tcBorders>
            <w:shd w:val="clear" w:color="auto" w:fill="auto"/>
            <w:noWrap/>
            <w:vAlign w:val="center"/>
          </w:tcPr>
          <w:p w14:paraId="1E1448D3"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p>
        </w:tc>
        <w:tc>
          <w:tcPr>
            <w:tcW w:w="1497" w:type="dxa"/>
            <w:tcBorders>
              <w:top w:val="single" w:sz="8" w:space="0" w:color="auto"/>
              <w:left w:val="nil"/>
              <w:right w:val="nil"/>
            </w:tcBorders>
            <w:shd w:val="clear" w:color="auto" w:fill="auto"/>
            <w:noWrap/>
            <w:vAlign w:val="center"/>
          </w:tcPr>
          <w:p w14:paraId="0B3A83DF"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p>
        </w:tc>
      </w:tr>
      <w:tr w:rsidR="00DA54F3" w:rsidRPr="001B02FE" w14:paraId="7C37E82B" w14:textId="77777777" w:rsidTr="00A535DB">
        <w:trPr>
          <w:trHeight w:val="263"/>
        </w:trPr>
        <w:tc>
          <w:tcPr>
            <w:tcW w:w="5953" w:type="dxa"/>
            <w:tcBorders>
              <w:left w:val="nil"/>
              <w:right w:val="nil"/>
            </w:tcBorders>
            <w:shd w:val="clear" w:color="auto" w:fill="auto"/>
            <w:noWrap/>
            <w:vAlign w:val="center"/>
          </w:tcPr>
          <w:p w14:paraId="16499393" w14:textId="77777777" w:rsidR="00DA54F3" w:rsidRPr="001B02FE" w:rsidRDefault="00DA54F3" w:rsidP="00A535DB">
            <w:pPr>
              <w:spacing w:after="0" w:line="240" w:lineRule="auto"/>
              <w:rPr>
                <w:rFonts w:eastAsia="Times New Roman" w:cstheme="minorHAnsi"/>
                <w:b/>
                <w:sz w:val="20"/>
                <w:szCs w:val="20"/>
                <w:lang w:eastAsia="en-GB"/>
              </w:rPr>
            </w:pPr>
            <w:r w:rsidRPr="001B02FE">
              <w:rPr>
                <w:rFonts w:eastAsia="Times New Roman" w:cstheme="minorHAnsi"/>
                <w:b/>
                <w:sz w:val="20"/>
                <w:szCs w:val="20"/>
                <w:lang w:eastAsia="en-GB"/>
              </w:rPr>
              <w:t>Non-current liabilities</w:t>
            </w:r>
          </w:p>
          <w:p w14:paraId="1FAF209B" w14:textId="77777777" w:rsidR="00DA54F3" w:rsidRPr="001B02FE" w:rsidRDefault="00DA54F3" w:rsidP="00A535DB">
            <w:pPr>
              <w:spacing w:after="0" w:line="240" w:lineRule="auto"/>
              <w:rPr>
                <w:rFonts w:eastAsia="Times New Roman" w:cstheme="minorHAnsi"/>
                <w:bCs/>
                <w:sz w:val="20"/>
                <w:szCs w:val="20"/>
                <w:lang w:eastAsia="en-GB"/>
              </w:rPr>
            </w:pPr>
            <w:r w:rsidRPr="001B02FE">
              <w:rPr>
                <w:rFonts w:eastAsia="Times New Roman" w:cstheme="minorHAnsi"/>
                <w:bCs/>
                <w:sz w:val="20"/>
                <w:szCs w:val="20"/>
                <w:lang w:eastAsia="en-GB"/>
              </w:rPr>
              <w:t>Lease Liabilities</w:t>
            </w:r>
          </w:p>
        </w:tc>
        <w:tc>
          <w:tcPr>
            <w:tcW w:w="739" w:type="dxa"/>
            <w:tcBorders>
              <w:left w:val="nil"/>
              <w:right w:val="nil"/>
            </w:tcBorders>
            <w:vAlign w:val="center"/>
          </w:tcPr>
          <w:p w14:paraId="5B8B3B64" w14:textId="6A0799B4"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496" w:type="dxa"/>
            <w:tcBorders>
              <w:left w:val="nil"/>
              <w:right w:val="nil"/>
            </w:tcBorders>
            <w:shd w:val="clear" w:color="auto" w:fill="auto"/>
            <w:noWrap/>
            <w:vAlign w:val="center"/>
          </w:tcPr>
          <w:p w14:paraId="0772598D"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p>
          <w:p w14:paraId="48E2311E"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(530)</w:t>
            </w:r>
          </w:p>
        </w:tc>
        <w:tc>
          <w:tcPr>
            <w:tcW w:w="1497" w:type="dxa"/>
            <w:tcBorders>
              <w:left w:val="nil"/>
              <w:right w:val="nil"/>
            </w:tcBorders>
            <w:shd w:val="clear" w:color="auto" w:fill="auto"/>
            <w:noWrap/>
            <w:vAlign w:val="center"/>
          </w:tcPr>
          <w:p w14:paraId="28831CE6"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p>
          <w:p w14:paraId="48F86498"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w:t>
            </w:r>
          </w:p>
        </w:tc>
      </w:tr>
      <w:tr w:rsidR="00DA54F3" w:rsidRPr="001B02FE" w14:paraId="36368477" w14:textId="77777777" w:rsidTr="00A535DB">
        <w:trPr>
          <w:trHeight w:val="263"/>
        </w:trPr>
        <w:tc>
          <w:tcPr>
            <w:tcW w:w="5953" w:type="dxa"/>
            <w:tcBorders>
              <w:left w:val="nil"/>
              <w:right w:val="nil"/>
            </w:tcBorders>
            <w:shd w:val="clear" w:color="auto" w:fill="auto"/>
            <w:noWrap/>
            <w:vAlign w:val="center"/>
          </w:tcPr>
          <w:p w14:paraId="07D2A85E" w14:textId="77777777" w:rsidR="00DA54F3" w:rsidRPr="001B02FE" w:rsidRDefault="00DA54F3" w:rsidP="00A535DB">
            <w:pPr>
              <w:spacing w:after="0" w:line="240" w:lineRule="auto"/>
              <w:rPr>
                <w:rFonts w:eastAsia="Times New Roman" w:cstheme="minorHAnsi"/>
                <w:bCs/>
                <w:sz w:val="20"/>
                <w:szCs w:val="20"/>
                <w:lang w:eastAsia="en-GB"/>
              </w:rPr>
            </w:pPr>
            <w:r w:rsidRPr="001B02FE">
              <w:rPr>
                <w:rFonts w:eastAsia="Times New Roman" w:cstheme="minorHAnsi"/>
                <w:bCs/>
                <w:sz w:val="20"/>
                <w:szCs w:val="20"/>
                <w:lang w:eastAsia="en-GB"/>
              </w:rPr>
              <w:t>Hire purchase agreement</w:t>
            </w:r>
          </w:p>
        </w:tc>
        <w:tc>
          <w:tcPr>
            <w:tcW w:w="739" w:type="dxa"/>
            <w:tcBorders>
              <w:left w:val="nil"/>
              <w:right w:val="nil"/>
            </w:tcBorders>
            <w:vAlign w:val="center"/>
          </w:tcPr>
          <w:p w14:paraId="3791E39C" w14:textId="40A07C03"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496" w:type="dxa"/>
            <w:tcBorders>
              <w:left w:val="nil"/>
              <w:right w:val="nil"/>
            </w:tcBorders>
            <w:shd w:val="clear" w:color="auto" w:fill="auto"/>
            <w:noWrap/>
            <w:vAlign w:val="center"/>
          </w:tcPr>
          <w:p w14:paraId="72D599C1"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(309)</w:t>
            </w:r>
          </w:p>
        </w:tc>
        <w:tc>
          <w:tcPr>
            <w:tcW w:w="1497" w:type="dxa"/>
            <w:tcBorders>
              <w:left w:val="nil"/>
              <w:right w:val="nil"/>
            </w:tcBorders>
            <w:shd w:val="clear" w:color="auto" w:fill="auto"/>
            <w:noWrap/>
            <w:vAlign w:val="center"/>
          </w:tcPr>
          <w:p w14:paraId="07788943"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w:t>
            </w:r>
          </w:p>
        </w:tc>
      </w:tr>
      <w:tr w:rsidR="00DA54F3" w:rsidRPr="001B02FE" w14:paraId="49BC4C6F" w14:textId="77777777" w:rsidTr="00A535DB">
        <w:trPr>
          <w:trHeight w:val="263"/>
        </w:trPr>
        <w:tc>
          <w:tcPr>
            <w:tcW w:w="5953" w:type="dxa"/>
            <w:tcBorders>
              <w:left w:val="nil"/>
              <w:bottom w:val="single" w:sz="8" w:space="0" w:color="auto"/>
              <w:right w:val="nil"/>
            </w:tcBorders>
            <w:shd w:val="clear" w:color="auto" w:fill="auto"/>
            <w:noWrap/>
            <w:vAlign w:val="center"/>
          </w:tcPr>
          <w:p w14:paraId="64849AC0"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Deferred tax</w:t>
            </w:r>
          </w:p>
        </w:tc>
        <w:tc>
          <w:tcPr>
            <w:tcW w:w="739" w:type="dxa"/>
            <w:tcBorders>
              <w:left w:val="nil"/>
              <w:bottom w:val="single" w:sz="8" w:space="0" w:color="auto"/>
              <w:right w:val="nil"/>
            </w:tcBorders>
            <w:shd w:val="clear" w:color="auto" w:fill="auto"/>
            <w:vAlign w:val="center"/>
          </w:tcPr>
          <w:p w14:paraId="4E31A991" w14:textId="67C24EF6" w:rsidR="00DA54F3" w:rsidRPr="001B02FE" w:rsidRDefault="00DA54F3" w:rsidP="00A535DB">
            <w:pPr>
              <w:spacing w:after="0" w:line="240" w:lineRule="auto"/>
              <w:ind w:right="-57"/>
              <w:jc w:val="center"/>
              <w:rPr>
                <w:rFonts w:eastAsia="Times New Roman" w:cstheme="minorHAnsi"/>
                <w:sz w:val="20"/>
                <w:szCs w:val="20"/>
                <w:lang w:eastAsia="en-GB"/>
              </w:rPr>
            </w:pPr>
            <w:r w:rsidRPr="001B02FE">
              <w:rPr>
                <w:rFonts w:eastAsia="Times New Roman" w:cstheme="minorHAnsi"/>
                <w:sz w:val="20"/>
                <w:szCs w:val="20"/>
                <w:lang w:eastAsia="en-GB"/>
              </w:rPr>
              <w:t>1</w:t>
            </w:r>
            <w:r w:rsidR="00FA091D">
              <w:rPr>
                <w:rFonts w:eastAsia="Times New Roman" w:cstheme="minorHAnsi"/>
                <w:sz w:val="20"/>
                <w:szCs w:val="20"/>
                <w:lang w:eastAsia="en-GB"/>
              </w:rPr>
              <w:t>1</w:t>
            </w:r>
          </w:p>
        </w:tc>
        <w:tc>
          <w:tcPr>
            <w:tcW w:w="1496" w:type="dxa"/>
            <w:tcBorders>
              <w:left w:val="nil"/>
              <w:bottom w:val="single" w:sz="8" w:space="0" w:color="auto"/>
              <w:right w:val="nil"/>
            </w:tcBorders>
            <w:shd w:val="clear" w:color="auto" w:fill="auto"/>
            <w:noWrap/>
            <w:vAlign w:val="center"/>
          </w:tcPr>
          <w:p w14:paraId="6242F624"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(2,472)</w:t>
            </w:r>
          </w:p>
        </w:tc>
        <w:tc>
          <w:tcPr>
            <w:tcW w:w="1497" w:type="dxa"/>
            <w:tcBorders>
              <w:left w:val="nil"/>
              <w:bottom w:val="single" w:sz="8" w:space="0" w:color="auto"/>
              <w:right w:val="nil"/>
            </w:tcBorders>
            <w:shd w:val="clear" w:color="auto" w:fill="auto"/>
            <w:noWrap/>
            <w:vAlign w:val="center"/>
          </w:tcPr>
          <w:p w14:paraId="3DE9B472"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(2,461)</w:t>
            </w:r>
          </w:p>
        </w:tc>
      </w:tr>
      <w:tr w:rsidR="00DA54F3" w:rsidRPr="001B02FE" w14:paraId="48AFDB91" w14:textId="77777777" w:rsidTr="00A535DB">
        <w:trPr>
          <w:trHeight w:val="263"/>
        </w:trPr>
        <w:tc>
          <w:tcPr>
            <w:tcW w:w="5953" w:type="dxa"/>
            <w:tcBorders>
              <w:top w:val="single" w:sz="8" w:space="0" w:color="auto"/>
              <w:left w:val="nil"/>
              <w:bottom w:val="single" w:sz="8" w:space="0" w:color="auto"/>
              <w:right w:val="nil"/>
            </w:tcBorders>
            <w:shd w:val="clear" w:color="auto" w:fill="auto"/>
            <w:noWrap/>
            <w:vAlign w:val="center"/>
          </w:tcPr>
          <w:p w14:paraId="57CD220D" w14:textId="77777777" w:rsidR="00DA54F3" w:rsidRPr="001B02FE" w:rsidRDefault="00DA54F3" w:rsidP="00A535DB">
            <w:pPr>
              <w:spacing w:after="0" w:line="240" w:lineRule="auto"/>
              <w:rPr>
                <w:rFonts w:eastAsia="Times New Roman" w:cstheme="minorHAnsi"/>
                <w:b/>
                <w:sz w:val="20"/>
                <w:szCs w:val="20"/>
                <w:lang w:eastAsia="en-GB"/>
              </w:rPr>
            </w:pPr>
            <w:r w:rsidRPr="001B02FE">
              <w:rPr>
                <w:rFonts w:eastAsia="Times New Roman" w:cstheme="minorHAnsi"/>
                <w:b/>
                <w:sz w:val="20"/>
                <w:szCs w:val="20"/>
                <w:lang w:eastAsia="en-GB"/>
              </w:rPr>
              <w:t>Total non-current liabilities</w:t>
            </w:r>
          </w:p>
        </w:tc>
        <w:tc>
          <w:tcPr>
            <w:tcW w:w="739" w:type="dxa"/>
            <w:tcBorders>
              <w:top w:val="single" w:sz="8" w:space="0" w:color="auto"/>
              <w:left w:val="nil"/>
              <w:bottom w:val="single" w:sz="8" w:space="0" w:color="auto"/>
              <w:right w:val="nil"/>
            </w:tcBorders>
            <w:vAlign w:val="center"/>
          </w:tcPr>
          <w:p w14:paraId="73A043DB"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496" w:type="dxa"/>
            <w:tcBorders>
              <w:top w:val="single" w:sz="8" w:space="0" w:color="auto"/>
              <w:left w:val="nil"/>
              <w:bottom w:val="single" w:sz="8" w:space="0" w:color="auto"/>
              <w:right w:val="nil"/>
            </w:tcBorders>
            <w:shd w:val="clear" w:color="auto" w:fill="auto"/>
            <w:noWrap/>
            <w:vAlign w:val="center"/>
          </w:tcPr>
          <w:p w14:paraId="6658216A"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(3,311)</w:t>
            </w:r>
          </w:p>
        </w:tc>
        <w:tc>
          <w:tcPr>
            <w:tcW w:w="1497" w:type="dxa"/>
            <w:tcBorders>
              <w:top w:val="single" w:sz="8" w:space="0" w:color="auto"/>
              <w:left w:val="nil"/>
              <w:bottom w:val="single" w:sz="8" w:space="0" w:color="auto"/>
              <w:right w:val="nil"/>
            </w:tcBorders>
            <w:shd w:val="clear" w:color="auto" w:fill="auto"/>
            <w:noWrap/>
            <w:vAlign w:val="center"/>
          </w:tcPr>
          <w:p w14:paraId="5E06DF42"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(2,461)</w:t>
            </w:r>
          </w:p>
        </w:tc>
      </w:tr>
      <w:tr w:rsidR="00DA54F3" w:rsidRPr="001B02FE" w14:paraId="4F544017" w14:textId="77777777" w:rsidTr="00A535DB">
        <w:trPr>
          <w:trHeight w:val="263"/>
        </w:trPr>
        <w:tc>
          <w:tcPr>
            <w:tcW w:w="5953" w:type="dxa"/>
            <w:tcBorders>
              <w:top w:val="single" w:sz="8" w:space="0" w:color="auto"/>
              <w:left w:val="nil"/>
              <w:bottom w:val="single" w:sz="12" w:space="0" w:color="auto"/>
              <w:right w:val="nil"/>
            </w:tcBorders>
            <w:shd w:val="clear" w:color="auto" w:fill="auto"/>
            <w:noWrap/>
            <w:vAlign w:val="center"/>
          </w:tcPr>
          <w:p w14:paraId="1D87156E" w14:textId="77777777" w:rsidR="00DA54F3" w:rsidRPr="001B02FE" w:rsidRDefault="00DA54F3" w:rsidP="00A535DB">
            <w:pPr>
              <w:spacing w:after="0" w:line="240" w:lineRule="auto"/>
              <w:rPr>
                <w:rFonts w:eastAsia="Times New Roman" w:cstheme="minorHAnsi"/>
                <w:b/>
                <w:sz w:val="20"/>
                <w:szCs w:val="20"/>
                <w:lang w:eastAsia="en-GB"/>
              </w:rPr>
            </w:pPr>
          </w:p>
        </w:tc>
        <w:tc>
          <w:tcPr>
            <w:tcW w:w="739" w:type="dxa"/>
            <w:tcBorders>
              <w:top w:val="single" w:sz="8" w:space="0" w:color="auto"/>
              <w:left w:val="nil"/>
              <w:bottom w:val="single" w:sz="12" w:space="0" w:color="auto"/>
              <w:right w:val="nil"/>
            </w:tcBorders>
            <w:vAlign w:val="center"/>
          </w:tcPr>
          <w:p w14:paraId="624DE8F0"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496" w:type="dxa"/>
            <w:tcBorders>
              <w:top w:val="single" w:sz="8" w:space="0" w:color="auto"/>
              <w:left w:val="nil"/>
              <w:bottom w:val="single" w:sz="12" w:space="0" w:color="auto"/>
              <w:right w:val="nil"/>
            </w:tcBorders>
            <w:shd w:val="clear" w:color="auto" w:fill="auto"/>
            <w:noWrap/>
            <w:vAlign w:val="center"/>
          </w:tcPr>
          <w:p w14:paraId="61EE2011"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p>
        </w:tc>
        <w:tc>
          <w:tcPr>
            <w:tcW w:w="1497" w:type="dxa"/>
            <w:tcBorders>
              <w:top w:val="single" w:sz="8" w:space="0" w:color="auto"/>
              <w:left w:val="nil"/>
              <w:bottom w:val="single" w:sz="12" w:space="0" w:color="auto"/>
              <w:right w:val="nil"/>
            </w:tcBorders>
            <w:shd w:val="clear" w:color="auto" w:fill="auto"/>
            <w:noWrap/>
            <w:vAlign w:val="center"/>
          </w:tcPr>
          <w:p w14:paraId="07512710"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p>
        </w:tc>
      </w:tr>
      <w:tr w:rsidR="00DA54F3" w:rsidRPr="001B02FE" w14:paraId="7CB94CA4" w14:textId="77777777" w:rsidTr="00A535DB">
        <w:trPr>
          <w:trHeight w:val="263"/>
        </w:trPr>
        <w:tc>
          <w:tcPr>
            <w:tcW w:w="5953" w:type="dxa"/>
            <w:tcBorders>
              <w:top w:val="single" w:sz="12" w:space="0" w:color="auto"/>
              <w:left w:val="nil"/>
              <w:right w:val="nil"/>
            </w:tcBorders>
            <w:shd w:val="clear" w:color="auto" w:fill="auto"/>
            <w:noWrap/>
            <w:vAlign w:val="center"/>
          </w:tcPr>
          <w:p w14:paraId="6E2BA3CB" w14:textId="77777777" w:rsidR="00DA54F3" w:rsidRPr="001B02FE" w:rsidRDefault="00DA54F3" w:rsidP="00A535DB">
            <w:pPr>
              <w:spacing w:after="0" w:line="240" w:lineRule="auto"/>
              <w:rPr>
                <w:rFonts w:eastAsia="Times New Roman" w:cstheme="minorHAnsi"/>
                <w:b/>
                <w:sz w:val="20"/>
                <w:szCs w:val="20"/>
                <w:lang w:eastAsia="en-GB"/>
              </w:rPr>
            </w:pPr>
            <w:r w:rsidRPr="001B02FE">
              <w:rPr>
                <w:rFonts w:eastAsia="Times New Roman" w:cstheme="minorHAnsi"/>
                <w:b/>
                <w:sz w:val="20"/>
                <w:szCs w:val="20"/>
                <w:lang w:eastAsia="en-GB"/>
              </w:rPr>
              <w:t>Total liabilities</w:t>
            </w:r>
          </w:p>
        </w:tc>
        <w:tc>
          <w:tcPr>
            <w:tcW w:w="739" w:type="dxa"/>
            <w:tcBorders>
              <w:top w:val="single" w:sz="12" w:space="0" w:color="auto"/>
              <w:left w:val="nil"/>
              <w:right w:val="nil"/>
            </w:tcBorders>
            <w:vAlign w:val="center"/>
          </w:tcPr>
          <w:p w14:paraId="1B37A31A"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496" w:type="dxa"/>
            <w:tcBorders>
              <w:top w:val="single" w:sz="12" w:space="0" w:color="auto"/>
              <w:left w:val="nil"/>
              <w:right w:val="nil"/>
            </w:tcBorders>
            <w:shd w:val="clear" w:color="auto" w:fill="auto"/>
            <w:noWrap/>
            <w:vAlign w:val="center"/>
          </w:tcPr>
          <w:p w14:paraId="4078D5C4"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(13,687)</w:t>
            </w:r>
          </w:p>
        </w:tc>
        <w:tc>
          <w:tcPr>
            <w:tcW w:w="1497" w:type="dxa"/>
            <w:tcBorders>
              <w:top w:val="single" w:sz="12" w:space="0" w:color="auto"/>
              <w:left w:val="nil"/>
              <w:right w:val="nil"/>
            </w:tcBorders>
            <w:shd w:val="clear" w:color="auto" w:fill="auto"/>
            <w:noWrap/>
            <w:vAlign w:val="center"/>
          </w:tcPr>
          <w:p w14:paraId="76AD9851"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(10,431)</w:t>
            </w:r>
          </w:p>
        </w:tc>
      </w:tr>
      <w:tr w:rsidR="00DA54F3" w:rsidRPr="001B02FE" w14:paraId="0500311B" w14:textId="77777777" w:rsidTr="00A535DB">
        <w:trPr>
          <w:trHeight w:val="263"/>
        </w:trPr>
        <w:tc>
          <w:tcPr>
            <w:tcW w:w="5953" w:type="dxa"/>
            <w:tcBorders>
              <w:top w:val="single" w:sz="12" w:space="0" w:color="auto"/>
              <w:left w:val="nil"/>
              <w:bottom w:val="single" w:sz="12" w:space="0" w:color="auto"/>
              <w:right w:val="nil"/>
            </w:tcBorders>
            <w:shd w:val="clear" w:color="auto" w:fill="auto"/>
            <w:noWrap/>
            <w:vAlign w:val="center"/>
          </w:tcPr>
          <w:p w14:paraId="6BBE1B19" w14:textId="77777777" w:rsidR="00DA54F3" w:rsidRPr="001B02FE" w:rsidRDefault="00DA54F3" w:rsidP="00A535DB">
            <w:pPr>
              <w:spacing w:after="0" w:line="240" w:lineRule="auto"/>
              <w:rPr>
                <w:rFonts w:eastAsia="Times New Roman" w:cstheme="minorHAnsi"/>
                <w:sz w:val="20"/>
                <w:szCs w:val="20"/>
                <w:lang w:eastAsia="en-GB"/>
              </w:rPr>
            </w:pPr>
          </w:p>
        </w:tc>
        <w:tc>
          <w:tcPr>
            <w:tcW w:w="739" w:type="dxa"/>
            <w:tcBorders>
              <w:top w:val="single" w:sz="12" w:space="0" w:color="auto"/>
              <w:left w:val="nil"/>
              <w:bottom w:val="single" w:sz="12" w:space="0" w:color="auto"/>
              <w:right w:val="nil"/>
            </w:tcBorders>
            <w:vAlign w:val="center"/>
          </w:tcPr>
          <w:p w14:paraId="77228118"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single" w:sz="12" w:space="0" w:color="auto"/>
              <w:left w:val="nil"/>
              <w:bottom w:val="single" w:sz="12" w:space="0" w:color="auto"/>
              <w:right w:val="nil"/>
            </w:tcBorders>
            <w:shd w:val="clear" w:color="auto" w:fill="auto"/>
            <w:noWrap/>
            <w:vAlign w:val="center"/>
          </w:tcPr>
          <w:p w14:paraId="01BF6F08"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p>
        </w:tc>
        <w:tc>
          <w:tcPr>
            <w:tcW w:w="1497" w:type="dxa"/>
            <w:tcBorders>
              <w:top w:val="single" w:sz="12" w:space="0" w:color="auto"/>
              <w:left w:val="nil"/>
              <w:bottom w:val="single" w:sz="12" w:space="0" w:color="auto"/>
              <w:right w:val="nil"/>
            </w:tcBorders>
            <w:shd w:val="clear" w:color="auto" w:fill="auto"/>
            <w:noWrap/>
            <w:vAlign w:val="center"/>
          </w:tcPr>
          <w:p w14:paraId="28133C62"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p>
        </w:tc>
      </w:tr>
      <w:tr w:rsidR="00DA54F3" w:rsidRPr="001B02FE" w14:paraId="38A3F92B" w14:textId="77777777" w:rsidTr="00A535DB">
        <w:trPr>
          <w:trHeight w:val="263"/>
        </w:trPr>
        <w:tc>
          <w:tcPr>
            <w:tcW w:w="5953" w:type="dxa"/>
            <w:tcBorders>
              <w:top w:val="single" w:sz="12" w:space="0" w:color="auto"/>
              <w:left w:val="nil"/>
              <w:bottom w:val="single" w:sz="12" w:space="0" w:color="auto"/>
              <w:right w:val="nil"/>
            </w:tcBorders>
            <w:shd w:val="clear" w:color="auto" w:fill="auto"/>
            <w:noWrap/>
            <w:vAlign w:val="center"/>
          </w:tcPr>
          <w:p w14:paraId="73689772"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Net assets</w:t>
            </w:r>
          </w:p>
        </w:tc>
        <w:tc>
          <w:tcPr>
            <w:tcW w:w="739" w:type="dxa"/>
            <w:tcBorders>
              <w:top w:val="single" w:sz="12" w:space="0" w:color="auto"/>
              <w:left w:val="nil"/>
              <w:bottom w:val="single" w:sz="12" w:space="0" w:color="auto"/>
              <w:right w:val="nil"/>
            </w:tcBorders>
            <w:vAlign w:val="center"/>
          </w:tcPr>
          <w:p w14:paraId="0E86EAED"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single" w:sz="12" w:space="0" w:color="auto"/>
              <w:left w:val="nil"/>
              <w:bottom w:val="single" w:sz="12" w:space="0" w:color="auto"/>
              <w:right w:val="nil"/>
            </w:tcBorders>
            <w:shd w:val="clear" w:color="auto" w:fill="auto"/>
            <w:noWrap/>
            <w:vAlign w:val="center"/>
          </w:tcPr>
          <w:p w14:paraId="68EF38F9"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45,197</w:t>
            </w:r>
          </w:p>
        </w:tc>
        <w:tc>
          <w:tcPr>
            <w:tcW w:w="1497" w:type="dxa"/>
            <w:tcBorders>
              <w:top w:val="single" w:sz="12" w:space="0" w:color="auto"/>
              <w:left w:val="nil"/>
              <w:bottom w:val="single" w:sz="12" w:space="0" w:color="auto"/>
              <w:right w:val="nil"/>
            </w:tcBorders>
            <w:shd w:val="clear" w:color="auto" w:fill="auto"/>
            <w:noWrap/>
            <w:vAlign w:val="center"/>
          </w:tcPr>
          <w:p w14:paraId="3C698F1C"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49,817</w:t>
            </w:r>
          </w:p>
        </w:tc>
      </w:tr>
      <w:tr w:rsidR="00DA54F3" w:rsidRPr="001B02FE" w14:paraId="7EB0165D" w14:textId="77777777" w:rsidTr="00A535DB">
        <w:trPr>
          <w:trHeight w:val="263"/>
        </w:trPr>
        <w:tc>
          <w:tcPr>
            <w:tcW w:w="6692" w:type="dxa"/>
            <w:gridSpan w:val="2"/>
            <w:tcBorders>
              <w:top w:val="nil"/>
              <w:left w:val="nil"/>
              <w:bottom w:val="nil"/>
              <w:right w:val="nil"/>
            </w:tcBorders>
            <w:shd w:val="clear" w:color="auto" w:fill="auto"/>
            <w:noWrap/>
            <w:vAlign w:val="center"/>
          </w:tcPr>
          <w:p w14:paraId="059AB1DA"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Capital and reserves attributable to owners of the Parent company</w:t>
            </w:r>
          </w:p>
        </w:tc>
        <w:tc>
          <w:tcPr>
            <w:tcW w:w="1496" w:type="dxa"/>
            <w:tcBorders>
              <w:top w:val="nil"/>
              <w:left w:val="nil"/>
              <w:bottom w:val="nil"/>
              <w:right w:val="nil"/>
            </w:tcBorders>
            <w:shd w:val="clear" w:color="auto" w:fill="auto"/>
            <w:noWrap/>
            <w:vAlign w:val="center"/>
          </w:tcPr>
          <w:p w14:paraId="1AA5B9C3" w14:textId="77777777" w:rsidR="00DA54F3" w:rsidRPr="001B02FE" w:rsidRDefault="00DA54F3" w:rsidP="00A535DB">
            <w:pPr>
              <w:spacing w:after="0" w:line="240" w:lineRule="auto"/>
              <w:ind w:right="85"/>
              <w:jc w:val="right"/>
              <w:rPr>
                <w:rFonts w:eastAsia="Times New Roman" w:cstheme="minorHAnsi"/>
                <w:b/>
                <w:sz w:val="20"/>
                <w:szCs w:val="20"/>
                <w:lang w:eastAsia="en-GB"/>
              </w:rPr>
            </w:pPr>
          </w:p>
        </w:tc>
        <w:tc>
          <w:tcPr>
            <w:tcW w:w="1497" w:type="dxa"/>
            <w:tcBorders>
              <w:top w:val="nil"/>
              <w:left w:val="nil"/>
              <w:bottom w:val="nil"/>
              <w:right w:val="nil"/>
            </w:tcBorders>
            <w:shd w:val="clear" w:color="auto" w:fill="auto"/>
            <w:noWrap/>
            <w:vAlign w:val="center"/>
          </w:tcPr>
          <w:p w14:paraId="62D41ED7" w14:textId="77777777" w:rsidR="00DA54F3" w:rsidRPr="001B02FE" w:rsidRDefault="00DA54F3" w:rsidP="00A535DB">
            <w:pPr>
              <w:spacing w:after="0" w:line="240" w:lineRule="auto"/>
              <w:ind w:right="85"/>
              <w:jc w:val="right"/>
              <w:rPr>
                <w:rFonts w:eastAsia="Times New Roman" w:cstheme="minorHAnsi"/>
                <w:sz w:val="20"/>
                <w:szCs w:val="20"/>
                <w:lang w:eastAsia="en-GB"/>
              </w:rPr>
            </w:pPr>
          </w:p>
        </w:tc>
      </w:tr>
      <w:tr w:rsidR="00DA54F3" w:rsidRPr="001B02FE" w14:paraId="2B04540F" w14:textId="77777777" w:rsidTr="00A535DB">
        <w:trPr>
          <w:trHeight w:val="263"/>
        </w:trPr>
        <w:tc>
          <w:tcPr>
            <w:tcW w:w="5953" w:type="dxa"/>
            <w:tcBorders>
              <w:top w:val="nil"/>
              <w:left w:val="nil"/>
              <w:bottom w:val="nil"/>
              <w:right w:val="nil"/>
            </w:tcBorders>
            <w:shd w:val="clear" w:color="auto" w:fill="auto"/>
            <w:noWrap/>
            <w:vAlign w:val="center"/>
          </w:tcPr>
          <w:p w14:paraId="4456DC14"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Share capital</w:t>
            </w:r>
          </w:p>
        </w:tc>
        <w:tc>
          <w:tcPr>
            <w:tcW w:w="739" w:type="dxa"/>
            <w:tcBorders>
              <w:top w:val="nil"/>
              <w:left w:val="nil"/>
              <w:bottom w:val="nil"/>
              <w:right w:val="nil"/>
            </w:tcBorders>
            <w:vAlign w:val="center"/>
          </w:tcPr>
          <w:p w14:paraId="5345D37D" w14:textId="245C2556"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bottom w:val="nil"/>
              <w:right w:val="nil"/>
            </w:tcBorders>
            <w:shd w:val="clear" w:color="auto" w:fill="auto"/>
            <w:noWrap/>
            <w:vAlign w:val="center"/>
          </w:tcPr>
          <w:p w14:paraId="38CF55A7"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12,282</w:t>
            </w:r>
          </w:p>
        </w:tc>
        <w:tc>
          <w:tcPr>
            <w:tcW w:w="1497" w:type="dxa"/>
            <w:tcBorders>
              <w:top w:val="nil"/>
              <w:left w:val="nil"/>
              <w:bottom w:val="nil"/>
              <w:right w:val="nil"/>
            </w:tcBorders>
            <w:shd w:val="clear" w:color="auto" w:fill="auto"/>
            <w:noWrap/>
            <w:vAlign w:val="center"/>
          </w:tcPr>
          <w:p w14:paraId="0515A916"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12,197</w:t>
            </w:r>
          </w:p>
        </w:tc>
      </w:tr>
      <w:tr w:rsidR="00DA54F3" w:rsidRPr="001B02FE" w14:paraId="3C49DB97" w14:textId="77777777" w:rsidTr="00A535DB">
        <w:trPr>
          <w:trHeight w:val="263"/>
        </w:trPr>
        <w:tc>
          <w:tcPr>
            <w:tcW w:w="5953" w:type="dxa"/>
            <w:tcBorders>
              <w:top w:val="nil"/>
              <w:left w:val="nil"/>
              <w:bottom w:val="nil"/>
              <w:right w:val="nil"/>
            </w:tcBorders>
            <w:shd w:val="clear" w:color="auto" w:fill="auto"/>
            <w:noWrap/>
            <w:vAlign w:val="center"/>
          </w:tcPr>
          <w:p w14:paraId="60199D96"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Share premium reserve</w:t>
            </w:r>
          </w:p>
        </w:tc>
        <w:tc>
          <w:tcPr>
            <w:tcW w:w="739" w:type="dxa"/>
            <w:tcBorders>
              <w:top w:val="nil"/>
              <w:left w:val="nil"/>
              <w:bottom w:val="nil"/>
              <w:right w:val="nil"/>
            </w:tcBorders>
            <w:vAlign w:val="center"/>
          </w:tcPr>
          <w:p w14:paraId="51BF7109"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bottom w:val="nil"/>
              <w:right w:val="nil"/>
            </w:tcBorders>
            <w:shd w:val="clear" w:color="auto" w:fill="auto"/>
            <w:noWrap/>
            <w:vAlign w:val="center"/>
          </w:tcPr>
          <w:p w14:paraId="3860558A"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48,829</w:t>
            </w:r>
          </w:p>
        </w:tc>
        <w:tc>
          <w:tcPr>
            <w:tcW w:w="1497" w:type="dxa"/>
            <w:tcBorders>
              <w:top w:val="nil"/>
              <w:left w:val="nil"/>
              <w:bottom w:val="nil"/>
              <w:right w:val="nil"/>
            </w:tcBorders>
            <w:shd w:val="clear" w:color="auto" w:fill="auto"/>
            <w:noWrap/>
            <w:vAlign w:val="center"/>
          </w:tcPr>
          <w:p w14:paraId="62BE5EDB"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48,464</w:t>
            </w:r>
          </w:p>
        </w:tc>
      </w:tr>
      <w:tr w:rsidR="00DA54F3" w:rsidRPr="001B02FE" w14:paraId="016A8D7A" w14:textId="77777777" w:rsidTr="00A535DB">
        <w:trPr>
          <w:trHeight w:val="263"/>
        </w:trPr>
        <w:tc>
          <w:tcPr>
            <w:tcW w:w="5953" w:type="dxa"/>
            <w:tcBorders>
              <w:top w:val="nil"/>
              <w:left w:val="nil"/>
              <w:right w:val="nil"/>
            </w:tcBorders>
            <w:shd w:val="clear" w:color="auto" w:fill="auto"/>
            <w:noWrap/>
            <w:vAlign w:val="center"/>
          </w:tcPr>
          <w:p w14:paraId="7879F623"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Employee Benefit Trust reserve</w:t>
            </w:r>
          </w:p>
        </w:tc>
        <w:tc>
          <w:tcPr>
            <w:tcW w:w="739" w:type="dxa"/>
            <w:tcBorders>
              <w:top w:val="nil"/>
              <w:left w:val="nil"/>
              <w:right w:val="nil"/>
            </w:tcBorders>
            <w:vAlign w:val="center"/>
          </w:tcPr>
          <w:p w14:paraId="79E48516"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right w:val="nil"/>
            </w:tcBorders>
            <w:shd w:val="clear" w:color="auto" w:fill="auto"/>
            <w:noWrap/>
            <w:vAlign w:val="center"/>
          </w:tcPr>
          <w:p w14:paraId="4ED29E3E"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(193)</w:t>
            </w:r>
          </w:p>
        </w:tc>
        <w:tc>
          <w:tcPr>
            <w:tcW w:w="1497" w:type="dxa"/>
            <w:tcBorders>
              <w:top w:val="nil"/>
              <w:left w:val="nil"/>
              <w:right w:val="nil"/>
            </w:tcBorders>
            <w:shd w:val="clear" w:color="auto" w:fill="auto"/>
            <w:noWrap/>
            <w:vAlign w:val="center"/>
          </w:tcPr>
          <w:p w14:paraId="010D971B"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(372)</w:t>
            </w:r>
          </w:p>
        </w:tc>
      </w:tr>
      <w:tr w:rsidR="00DA54F3" w:rsidRPr="001B02FE" w14:paraId="21E46F1D" w14:textId="77777777" w:rsidTr="00A535DB">
        <w:trPr>
          <w:trHeight w:val="263"/>
        </w:trPr>
        <w:tc>
          <w:tcPr>
            <w:tcW w:w="5953" w:type="dxa"/>
            <w:tcBorders>
              <w:top w:val="nil"/>
              <w:left w:val="nil"/>
              <w:right w:val="nil"/>
            </w:tcBorders>
            <w:shd w:val="clear" w:color="auto" w:fill="auto"/>
            <w:noWrap/>
            <w:vAlign w:val="center"/>
          </w:tcPr>
          <w:p w14:paraId="6FC22A4E"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Other reserve</w:t>
            </w:r>
          </w:p>
        </w:tc>
        <w:tc>
          <w:tcPr>
            <w:tcW w:w="739" w:type="dxa"/>
            <w:tcBorders>
              <w:top w:val="nil"/>
              <w:left w:val="nil"/>
              <w:right w:val="nil"/>
            </w:tcBorders>
            <w:vAlign w:val="center"/>
          </w:tcPr>
          <w:p w14:paraId="06DDE564"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right w:val="nil"/>
            </w:tcBorders>
            <w:shd w:val="clear" w:color="auto" w:fill="auto"/>
            <w:noWrap/>
            <w:vAlign w:val="center"/>
          </w:tcPr>
          <w:p w14:paraId="09B5D99D"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(907)</w:t>
            </w:r>
          </w:p>
        </w:tc>
        <w:tc>
          <w:tcPr>
            <w:tcW w:w="1497" w:type="dxa"/>
            <w:tcBorders>
              <w:top w:val="nil"/>
              <w:left w:val="nil"/>
              <w:right w:val="nil"/>
            </w:tcBorders>
            <w:shd w:val="clear" w:color="auto" w:fill="auto"/>
            <w:noWrap/>
            <w:vAlign w:val="center"/>
          </w:tcPr>
          <w:p w14:paraId="206A1CED"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(907)</w:t>
            </w:r>
          </w:p>
        </w:tc>
      </w:tr>
      <w:tr w:rsidR="00DA54F3" w:rsidRPr="001B02FE" w14:paraId="055A57B1" w14:textId="77777777" w:rsidTr="00A535DB">
        <w:trPr>
          <w:trHeight w:val="263"/>
        </w:trPr>
        <w:tc>
          <w:tcPr>
            <w:tcW w:w="5953" w:type="dxa"/>
            <w:tcBorders>
              <w:top w:val="nil"/>
              <w:left w:val="nil"/>
              <w:right w:val="nil"/>
            </w:tcBorders>
            <w:shd w:val="clear" w:color="auto" w:fill="auto"/>
            <w:noWrap/>
            <w:vAlign w:val="center"/>
          </w:tcPr>
          <w:p w14:paraId="53877C28"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Foreign exchange reserve</w:t>
            </w:r>
          </w:p>
        </w:tc>
        <w:tc>
          <w:tcPr>
            <w:tcW w:w="739" w:type="dxa"/>
            <w:tcBorders>
              <w:top w:val="nil"/>
              <w:left w:val="nil"/>
              <w:right w:val="nil"/>
            </w:tcBorders>
            <w:vAlign w:val="center"/>
          </w:tcPr>
          <w:p w14:paraId="0FB2F575"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right w:val="nil"/>
            </w:tcBorders>
            <w:shd w:val="clear" w:color="auto" w:fill="auto"/>
            <w:noWrap/>
            <w:vAlign w:val="center"/>
          </w:tcPr>
          <w:p w14:paraId="5F7F44B2"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(30)</w:t>
            </w:r>
          </w:p>
        </w:tc>
        <w:tc>
          <w:tcPr>
            <w:tcW w:w="1497" w:type="dxa"/>
            <w:tcBorders>
              <w:top w:val="nil"/>
              <w:left w:val="nil"/>
              <w:right w:val="nil"/>
            </w:tcBorders>
            <w:shd w:val="clear" w:color="auto" w:fill="auto"/>
            <w:noWrap/>
            <w:vAlign w:val="center"/>
          </w:tcPr>
          <w:p w14:paraId="307B4D89"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(97)</w:t>
            </w:r>
          </w:p>
        </w:tc>
      </w:tr>
      <w:tr w:rsidR="00DA54F3" w:rsidRPr="001B02FE" w14:paraId="338D09DC" w14:textId="77777777" w:rsidTr="00A535DB">
        <w:trPr>
          <w:trHeight w:val="263"/>
        </w:trPr>
        <w:tc>
          <w:tcPr>
            <w:tcW w:w="5953" w:type="dxa"/>
            <w:tcBorders>
              <w:top w:val="nil"/>
              <w:left w:val="nil"/>
              <w:right w:val="nil"/>
            </w:tcBorders>
            <w:shd w:val="clear" w:color="auto" w:fill="auto"/>
            <w:noWrap/>
            <w:vAlign w:val="center"/>
          </w:tcPr>
          <w:p w14:paraId="75E2C962"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Cash flow hedge reserve</w:t>
            </w:r>
          </w:p>
        </w:tc>
        <w:tc>
          <w:tcPr>
            <w:tcW w:w="739" w:type="dxa"/>
            <w:tcBorders>
              <w:top w:val="nil"/>
              <w:left w:val="nil"/>
              <w:right w:val="nil"/>
            </w:tcBorders>
            <w:vAlign w:val="center"/>
          </w:tcPr>
          <w:p w14:paraId="1854BBA0"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right w:val="nil"/>
            </w:tcBorders>
            <w:shd w:val="clear" w:color="auto" w:fill="auto"/>
            <w:noWrap/>
            <w:vAlign w:val="center"/>
          </w:tcPr>
          <w:p w14:paraId="05AEA8E5"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(148)</w:t>
            </w:r>
          </w:p>
        </w:tc>
        <w:tc>
          <w:tcPr>
            <w:tcW w:w="1497" w:type="dxa"/>
            <w:tcBorders>
              <w:top w:val="nil"/>
              <w:left w:val="nil"/>
              <w:right w:val="nil"/>
            </w:tcBorders>
            <w:shd w:val="clear" w:color="auto" w:fill="auto"/>
            <w:noWrap/>
            <w:vAlign w:val="center"/>
          </w:tcPr>
          <w:p w14:paraId="1891FC69"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w:t>
            </w:r>
          </w:p>
        </w:tc>
      </w:tr>
      <w:tr w:rsidR="00DA54F3" w:rsidRPr="001B02FE" w14:paraId="40A1536E" w14:textId="77777777" w:rsidTr="00A535DB">
        <w:trPr>
          <w:trHeight w:val="263"/>
        </w:trPr>
        <w:tc>
          <w:tcPr>
            <w:tcW w:w="5953" w:type="dxa"/>
            <w:tcBorders>
              <w:top w:val="nil"/>
              <w:left w:val="nil"/>
              <w:bottom w:val="single" w:sz="12" w:space="0" w:color="auto"/>
              <w:right w:val="nil"/>
            </w:tcBorders>
            <w:shd w:val="clear" w:color="auto" w:fill="auto"/>
            <w:noWrap/>
            <w:vAlign w:val="center"/>
          </w:tcPr>
          <w:p w14:paraId="44BFFBDD"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Retained deficit</w:t>
            </w:r>
          </w:p>
        </w:tc>
        <w:tc>
          <w:tcPr>
            <w:tcW w:w="739" w:type="dxa"/>
            <w:tcBorders>
              <w:top w:val="nil"/>
              <w:left w:val="nil"/>
              <w:bottom w:val="single" w:sz="12" w:space="0" w:color="auto"/>
              <w:right w:val="nil"/>
            </w:tcBorders>
            <w:vAlign w:val="center"/>
          </w:tcPr>
          <w:p w14:paraId="142E16F1"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nil"/>
              <w:left w:val="nil"/>
              <w:bottom w:val="single" w:sz="12" w:space="0" w:color="auto"/>
              <w:right w:val="nil"/>
            </w:tcBorders>
            <w:shd w:val="clear" w:color="auto" w:fill="auto"/>
            <w:noWrap/>
            <w:vAlign w:val="center"/>
          </w:tcPr>
          <w:p w14:paraId="4732E43B"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(14,636)</w:t>
            </w:r>
          </w:p>
        </w:tc>
        <w:tc>
          <w:tcPr>
            <w:tcW w:w="1497" w:type="dxa"/>
            <w:tcBorders>
              <w:top w:val="nil"/>
              <w:left w:val="nil"/>
              <w:bottom w:val="single" w:sz="12" w:space="0" w:color="auto"/>
              <w:right w:val="nil"/>
            </w:tcBorders>
            <w:shd w:val="clear" w:color="auto" w:fill="auto"/>
            <w:noWrap/>
            <w:vAlign w:val="center"/>
          </w:tcPr>
          <w:p w14:paraId="066A8C9F"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(9,468)</w:t>
            </w:r>
          </w:p>
        </w:tc>
      </w:tr>
      <w:tr w:rsidR="00DA54F3" w:rsidRPr="001B02FE" w14:paraId="7BD27B37" w14:textId="77777777" w:rsidTr="00A535DB">
        <w:trPr>
          <w:trHeight w:val="263"/>
        </w:trPr>
        <w:tc>
          <w:tcPr>
            <w:tcW w:w="5953" w:type="dxa"/>
            <w:tcBorders>
              <w:top w:val="single" w:sz="12" w:space="0" w:color="auto"/>
              <w:left w:val="nil"/>
              <w:bottom w:val="single" w:sz="12" w:space="0" w:color="auto"/>
              <w:right w:val="nil"/>
            </w:tcBorders>
            <w:shd w:val="clear" w:color="auto" w:fill="auto"/>
            <w:noWrap/>
            <w:vAlign w:val="center"/>
          </w:tcPr>
          <w:p w14:paraId="080A6820"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Total equity</w:t>
            </w:r>
          </w:p>
        </w:tc>
        <w:tc>
          <w:tcPr>
            <w:tcW w:w="739" w:type="dxa"/>
            <w:tcBorders>
              <w:top w:val="single" w:sz="12" w:space="0" w:color="auto"/>
              <w:left w:val="nil"/>
              <w:bottom w:val="single" w:sz="12" w:space="0" w:color="auto"/>
              <w:right w:val="nil"/>
            </w:tcBorders>
            <w:vAlign w:val="center"/>
          </w:tcPr>
          <w:p w14:paraId="124939D7"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496" w:type="dxa"/>
            <w:tcBorders>
              <w:top w:val="single" w:sz="12" w:space="0" w:color="auto"/>
              <w:left w:val="nil"/>
              <w:bottom w:val="single" w:sz="12" w:space="0" w:color="auto"/>
              <w:right w:val="nil"/>
            </w:tcBorders>
            <w:shd w:val="clear" w:color="auto" w:fill="auto"/>
            <w:noWrap/>
            <w:vAlign w:val="center"/>
          </w:tcPr>
          <w:p w14:paraId="1E3CB903" w14:textId="77777777" w:rsidR="00DA54F3" w:rsidRPr="001B02FE" w:rsidRDefault="00DA54F3" w:rsidP="00A535DB">
            <w:pPr>
              <w:tabs>
                <w:tab w:val="decimal" w:pos="1202"/>
              </w:tabs>
              <w:spacing w:after="0" w:line="240" w:lineRule="auto"/>
              <w:ind w:left="-197" w:right="-160"/>
              <w:jc w:val="both"/>
              <w:rPr>
                <w:rFonts w:eastAsia="Times New Roman" w:cstheme="minorHAnsi"/>
                <w:b/>
                <w:sz w:val="20"/>
                <w:szCs w:val="20"/>
              </w:rPr>
            </w:pPr>
            <w:r w:rsidRPr="001B02FE">
              <w:rPr>
                <w:rFonts w:eastAsia="Times New Roman" w:cstheme="minorHAnsi"/>
                <w:b/>
                <w:sz w:val="20"/>
                <w:szCs w:val="20"/>
              </w:rPr>
              <w:t>45,197</w:t>
            </w:r>
          </w:p>
        </w:tc>
        <w:tc>
          <w:tcPr>
            <w:tcW w:w="1497" w:type="dxa"/>
            <w:tcBorders>
              <w:top w:val="single" w:sz="12" w:space="0" w:color="auto"/>
              <w:left w:val="nil"/>
              <w:bottom w:val="single" w:sz="12" w:space="0" w:color="auto"/>
              <w:right w:val="nil"/>
            </w:tcBorders>
            <w:shd w:val="clear" w:color="auto" w:fill="auto"/>
            <w:noWrap/>
            <w:vAlign w:val="center"/>
          </w:tcPr>
          <w:p w14:paraId="1A925BA5" w14:textId="77777777" w:rsidR="00DA54F3" w:rsidRPr="001B02FE" w:rsidRDefault="00DA54F3" w:rsidP="00A535DB">
            <w:pPr>
              <w:tabs>
                <w:tab w:val="decimal" w:pos="1202"/>
              </w:tabs>
              <w:spacing w:after="0" w:line="240" w:lineRule="auto"/>
              <w:ind w:left="-197" w:right="-160"/>
              <w:jc w:val="both"/>
              <w:rPr>
                <w:rFonts w:eastAsia="Times New Roman" w:cstheme="minorHAnsi"/>
                <w:sz w:val="20"/>
                <w:szCs w:val="20"/>
              </w:rPr>
            </w:pPr>
            <w:r w:rsidRPr="001B02FE">
              <w:rPr>
                <w:rFonts w:eastAsia="Times New Roman" w:cstheme="minorHAnsi"/>
                <w:sz w:val="20"/>
                <w:szCs w:val="20"/>
              </w:rPr>
              <w:t>49,817</w:t>
            </w:r>
          </w:p>
        </w:tc>
      </w:tr>
    </w:tbl>
    <w:p w14:paraId="54CDE89C" w14:textId="77777777" w:rsidR="00DA54F3" w:rsidRPr="001B02FE" w:rsidRDefault="00DA54F3" w:rsidP="00DA54F3">
      <w:pPr>
        <w:ind w:left="142"/>
        <w:jc w:val="both"/>
        <w:rPr>
          <w:rFonts w:cstheme="minorHAnsi"/>
          <w:sz w:val="20"/>
          <w:szCs w:val="20"/>
        </w:rPr>
      </w:pPr>
      <w:r w:rsidRPr="001B02FE">
        <w:rPr>
          <w:rFonts w:cstheme="minorHAnsi"/>
          <w:sz w:val="20"/>
          <w:szCs w:val="20"/>
        </w:rPr>
        <w:t xml:space="preserve">These consolidated financial statements were approved and authorised for issue by the Board on 17 March 2020 and signed on its behalf by: </w:t>
      </w:r>
    </w:p>
    <w:p w14:paraId="7A619DC8" w14:textId="77777777" w:rsidR="00DA54F3" w:rsidRPr="001B02FE" w:rsidRDefault="00DA54F3" w:rsidP="00DA54F3">
      <w:pPr>
        <w:spacing w:after="0"/>
        <w:ind w:left="142"/>
        <w:jc w:val="both"/>
        <w:rPr>
          <w:rFonts w:cstheme="minorHAnsi"/>
          <w:b/>
          <w:sz w:val="20"/>
          <w:szCs w:val="20"/>
        </w:rPr>
      </w:pPr>
      <w:r w:rsidRPr="001B02FE">
        <w:rPr>
          <w:rFonts w:cstheme="minorHAnsi"/>
          <w:b/>
          <w:sz w:val="20"/>
          <w:szCs w:val="20"/>
        </w:rPr>
        <w:t>Stephen Moon</w:t>
      </w:r>
    </w:p>
    <w:p w14:paraId="0DEEFE31" w14:textId="77777777" w:rsidR="00DA54F3" w:rsidRPr="001B02FE" w:rsidRDefault="00DA54F3" w:rsidP="00DA54F3">
      <w:pPr>
        <w:ind w:left="142"/>
        <w:jc w:val="both"/>
        <w:rPr>
          <w:rFonts w:cstheme="minorHAnsi"/>
          <w:sz w:val="20"/>
          <w:szCs w:val="20"/>
        </w:rPr>
      </w:pPr>
      <w:r w:rsidRPr="001B02FE">
        <w:rPr>
          <w:rFonts w:cstheme="minorHAnsi"/>
          <w:sz w:val="20"/>
          <w:szCs w:val="20"/>
        </w:rPr>
        <w:t>Director</w:t>
      </w:r>
    </w:p>
    <w:p w14:paraId="70FF91F0" w14:textId="77777777" w:rsidR="001B02FE" w:rsidRDefault="00DA54F3" w:rsidP="00DA54F3">
      <w:pPr>
        <w:ind w:left="142"/>
        <w:rPr>
          <w:rFonts w:eastAsia="Times New Roman" w:cstheme="minorHAnsi"/>
          <w:b/>
          <w:i/>
          <w:sz w:val="20"/>
          <w:szCs w:val="20"/>
        </w:rPr>
        <w:sectPr w:rsidR="001B02FE" w:rsidSect="001B02FE">
          <w:headerReference w:type="default" r:id="rId11"/>
          <w:pgSz w:w="11906" w:h="16838"/>
          <w:pgMar w:top="1134" w:right="1440" w:bottom="1440" w:left="1440" w:header="708" w:footer="708" w:gutter="0"/>
          <w:cols w:space="708"/>
          <w:docGrid w:linePitch="360"/>
        </w:sectPr>
      </w:pPr>
      <w:r w:rsidRPr="001B02FE">
        <w:rPr>
          <w:rFonts w:eastAsia="Times New Roman" w:cstheme="minorHAnsi"/>
          <w:b/>
          <w:i/>
          <w:sz w:val="20"/>
          <w:szCs w:val="20"/>
        </w:rPr>
        <w:t>Company number 08535116</w:t>
      </w:r>
    </w:p>
    <w:p w14:paraId="0B70239E" w14:textId="460664C5" w:rsidR="001B02FE" w:rsidRPr="001B02FE" w:rsidRDefault="001B02FE" w:rsidP="001B02FE">
      <w:pPr>
        <w:pStyle w:val="Header"/>
        <w:rPr>
          <w:rFonts w:cstheme="minorHAnsi"/>
          <w:b/>
          <w:sz w:val="24"/>
          <w:szCs w:val="20"/>
        </w:rPr>
      </w:pPr>
      <w:r w:rsidRPr="001B02FE">
        <w:rPr>
          <w:rFonts w:cstheme="minorHAnsi"/>
          <w:b/>
          <w:sz w:val="24"/>
          <w:szCs w:val="20"/>
        </w:rPr>
        <w:t xml:space="preserve">Consolidated statement of </w:t>
      </w:r>
      <w:r>
        <w:rPr>
          <w:rFonts w:cstheme="minorHAnsi"/>
          <w:b/>
          <w:sz w:val="24"/>
          <w:szCs w:val="20"/>
        </w:rPr>
        <w:t>cash flows</w:t>
      </w:r>
    </w:p>
    <w:tbl>
      <w:tblPr>
        <w:tblW w:w="9749" w:type="dxa"/>
        <w:tblInd w:w="108" w:type="dxa"/>
        <w:tblLayout w:type="fixed"/>
        <w:tblLook w:val="0000" w:firstRow="0" w:lastRow="0" w:firstColumn="0" w:lastColumn="0" w:noHBand="0" w:noVBand="0"/>
      </w:tblPr>
      <w:tblGrid>
        <w:gridCol w:w="5812"/>
        <w:gridCol w:w="851"/>
        <w:gridCol w:w="1559"/>
        <w:gridCol w:w="1527"/>
      </w:tblGrid>
      <w:tr w:rsidR="00DA54F3" w:rsidRPr="001B02FE" w14:paraId="02479F89" w14:textId="77777777" w:rsidTr="00A535DB">
        <w:trPr>
          <w:trHeight w:val="290"/>
        </w:trPr>
        <w:tc>
          <w:tcPr>
            <w:tcW w:w="5812" w:type="dxa"/>
            <w:tcBorders>
              <w:top w:val="nil"/>
              <w:left w:val="nil"/>
              <w:bottom w:val="nil"/>
              <w:right w:val="nil"/>
            </w:tcBorders>
            <w:shd w:val="clear" w:color="auto" w:fill="auto"/>
            <w:noWrap/>
            <w:vAlign w:val="center"/>
          </w:tcPr>
          <w:p w14:paraId="4E8BE9B5" w14:textId="77777777" w:rsidR="00DA54F3" w:rsidRPr="001B02FE" w:rsidRDefault="00DA54F3" w:rsidP="00A535DB">
            <w:pPr>
              <w:spacing w:after="0" w:line="240" w:lineRule="auto"/>
              <w:rPr>
                <w:rFonts w:eastAsia="Times New Roman" w:cstheme="minorHAnsi"/>
                <w:sz w:val="20"/>
                <w:szCs w:val="20"/>
                <w:lang w:eastAsia="en-GB"/>
              </w:rPr>
            </w:pPr>
          </w:p>
        </w:tc>
        <w:tc>
          <w:tcPr>
            <w:tcW w:w="851" w:type="dxa"/>
            <w:tcBorders>
              <w:top w:val="nil"/>
              <w:left w:val="nil"/>
              <w:bottom w:val="nil"/>
              <w:right w:val="nil"/>
            </w:tcBorders>
            <w:vAlign w:val="center"/>
          </w:tcPr>
          <w:p w14:paraId="68919EBE" w14:textId="77777777" w:rsidR="00DA54F3" w:rsidRPr="001B02FE" w:rsidRDefault="00DA54F3" w:rsidP="00A535DB">
            <w:pPr>
              <w:spacing w:after="0" w:line="240" w:lineRule="auto"/>
              <w:jc w:val="center"/>
              <w:rPr>
                <w:rFonts w:eastAsia="Times New Roman" w:cstheme="minorHAnsi"/>
                <w:bCs/>
                <w:sz w:val="20"/>
                <w:szCs w:val="20"/>
                <w:lang w:eastAsia="en-GB"/>
              </w:rPr>
            </w:pPr>
          </w:p>
        </w:tc>
        <w:tc>
          <w:tcPr>
            <w:tcW w:w="1559" w:type="dxa"/>
            <w:tcBorders>
              <w:top w:val="nil"/>
              <w:left w:val="nil"/>
              <w:bottom w:val="nil"/>
              <w:right w:val="nil"/>
            </w:tcBorders>
            <w:vAlign w:val="center"/>
          </w:tcPr>
          <w:p w14:paraId="3583BEA2" w14:textId="77777777" w:rsidR="00DA54F3" w:rsidRPr="001B02FE" w:rsidRDefault="00DA54F3" w:rsidP="00A535DB">
            <w:pPr>
              <w:spacing w:after="0" w:line="240" w:lineRule="auto"/>
              <w:jc w:val="right"/>
              <w:rPr>
                <w:rFonts w:eastAsia="Times New Roman" w:cstheme="minorHAnsi"/>
                <w:b/>
                <w:bCs/>
                <w:sz w:val="20"/>
                <w:szCs w:val="20"/>
                <w:lang w:eastAsia="en-GB"/>
              </w:rPr>
            </w:pPr>
          </w:p>
          <w:p w14:paraId="1A351E00"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Year</w:t>
            </w:r>
          </w:p>
        </w:tc>
        <w:tc>
          <w:tcPr>
            <w:tcW w:w="1527" w:type="dxa"/>
            <w:tcBorders>
              <w:top w:val="nil"/>
              <w:left w:val="nil"/>
              <w:bottom w:val="nil"/>
              <w:right w:val="nil"/>
            </w:tcBorders>
            <w:shd w:val="clear" w:color="auto" w:fill="auto"/>
            <w:noWrap/>
            <w:vAlign w:val="bottom"/>
          </w:tcPr>
          <w:p w14:paraId="02CCB4FA" w14:textId="77777777" w:rsidR="00DA54F3" w:rsidRPr="001B02FE" w:rsidRDefault="00DA54F3" w:rsidP="00A535DB">
            <w:pPr>
              <w:spacing w:after="0" w:line="240" w:lineRule="auto"/>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Year </w:t>
            </w:r>
          </w:p>
        </w:tc>
      </w:tr>
      <w:tr w:rsidR="00DA54F3" w:rsidRPr="001B02FE" w14:paraId="28D5B5BC" w14:textId="77777777" w:rsidTr="00A535DB">
        <w:trPr>
          <w:trHeight w:val="290"/>
        </w:trPr>
        <w:tc>
          <w:tcPr>
            <w:tcW w:w="5812" w:type="dxa"/>
            <w:tcBorders>
              <w:top w:val="nil"/>
              <w:left w:val="nil"/>
              <w:bottom w:val="nil"/>
              <w:right w:val="nil"/>
            </w:tcBorders>
            <w:shd w:val="clear" w:color="auto" w:fill="auto"/>
            <w:noWrap/>
            <w:vAlign w:val="center"/>
          </w:tcPr>
          <w:p w14:paraId="10BFED8B" w14:textId="77777777" w:rsidR="00DA54F3" w:rsidRPr="001B02FE" w:rsidRDefault="00DA54F3" w:rsidP="00A535DB">
            <w:pPr>
              <w:spacing w:after="0" w:line="240" w:lineRule="auto"/>
              <w:rPr>
                <w:rFonts w:eastAsia="Times New Roman" w:cstheme="minorHAnsi"/>
                <w:sz w:val="20"/>
                <w:szCs w:val="20"/>
                <w:lang w:eastAsia="en-GB"/>
              </w:rPr>
            </w:pPr>
          </w:p>
        </w:tc>
        <w:tc>
          <w:tcPr>
            <w:tcW w:w="851" w:type="dxa"/>
            <w:tcBorders>
              <w:top w:val="nil"/>
              <w:left w:val="nil"/>
              <w:bottom w:val="nil"/>
              <w:right w:val="nil"/>
            </w:tcBorders>
            <w:vAlign w:val="center"/>
          </w:tcPr>
          <w:p w14:paraId="2E089C66" w14:textId="77777777" w:rsidR="00DA54F3" w:rsidRPr="001B02FE" w:rsidRDefault="00DA54F3" w:rsidP="00A535DB">
            <w:pPr>
              <w:spacing w:after="0" w:line="240" w:lineRule="auto"/>
              <w:jc w:val="center"/>
              <w:rPr>
                <w:rFonts w:eastAsia="Times New Roman" w:cstheme="minorHAnsi"/>
                <w:bCs/>
                <w:sz w:val="20"/>
                <w:szCs w:val="20"/>
                <w:lang w:eastAsia="en-GB"/>
              </w:rPr>
            </w:pPr>
          </w:p>
        </w:tc>
        <w:tc>
          <w:tcPr>
            <w:tcW w:w="1559" w:type="dxa"/>
            <w:tcBorders>
              <w:top w:val="nil"/>
              <w:left w:val="nil"/>
              <w:bottom w:val="nil"/>
              <w:right w:val="nil"/>
            </w:tcBorders>
            <w:vAlign w:val="center"/>
          </w:tcPr>
          <w:p w14:paraId="1B64BC08"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 xml:space="preserve">ended </w:t>
            </w:r>
          </w:p>
        </w:tc>
        <w:tc>
          <w:tcPr>
            <w:tcW w:w="1527" w:type="dxa"/>
            <w:tcBorders>
              <w:top w:val="nil"/>
              <w:left w:val="nil"/>
              <w:bottom w:val="nil"/>
              <w:right w:val="nil"/>
            </w:tcBorders>
            <w:shd w:val="clear" w:color="auto" w:fill="auto"/>
            <w:noWrap/>
            <w:vAlign w:val="center"/>
          </w:tcPr>
          <w:p w14:paraId="028E5168" w14:textId="77777777" w:rsidR="00DA54F3" w:rsidRPr="001B02FE" w:rsidRDefault="00DA54F3" w:rsidP="00A535DB">
            <w:pPr>
              <w:spacing w:after="0" w:line="240" w:lineRule="auto"/>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ended </w:t>
            </w:r>
          </w:p>
        </w:tc>
      </w:tr>
      <w:tr w:rsidR="00DA54F3" w:rsidRPr="001B02FE" w14:paraId="39A28203" w14:textId="77777777" w:rsidTr="00A535DB">
        <w:trPr>
          <w:trHeight w:val="290"/>
        </w:trPr>
        <w:tc>
          <w:tcPr>
            <w:tcW w:w="5812" w:type="dxa"/>
            <w:tcBorders>
              <w:top w:val="nil"/>
              <w:left w:val="nil"/>
              <w:bottom w:val="nil"/>
              <w:right w:val="nil"/>
            </w:tcBorders>
            <w:shd w:val="clear" w:color="auto" w:fill="auto"/>
            <w:noWrap/>
            <w:vAlign w:val="center"/>
          </w:tcPr>
          <w:p w14:paraId="29A9B48F" w14:textId="77777777" w:rsidR="00DA54F3" w:rsidRPr="001B02FE" w:rsidRDefault="00DA54F3" w:rsidP="00A535DB">
            <w:pPr>
              <w:spacing w:after="0" w:line="240" w:lineRule="auto"/>
              <w:rPr>
                <w:rFonts w:eastAsia="Times New Roman" w:cstheme="minorHAnsi"/>
                <w:sz w:val="20"/>
                <w:szCs w:val="20"/>
                <w:lang w:eastAsia="en-GB"/>
              </w:rPr>
            </w:pPr>
          </w:p>
        </w:tc>
        <w:tc>
          <w:tcPr>
            <w:tcW w:w="851" w:type="dxa"/>
            <w:tcBorders>
              <w:top w:val="nil"/>
              <w:left w:val="nil"/>
              <w:bottom w:val="nil"/>
              <w:right w:val="nil"/>
            </w:tcBorders>
            <w:vAlign w:val="center"/>
          </w:tcPr>
          <w:p w14:paraId="6E809276" w14:textId="77777777" w:rsidR="00DA54F3" w:rsidRPr="001B02FE" w:rsidRDefault="00DA54F3" w:rsidP="00A535DB">
            <w:pPr>
              <w:spacing w:after="0" w:line="240" w:lineRule="auto"/>
              <w:jc w:val="center"/>
              <w:rPr>
                <w:rFonts w:eastAsia="Times New Roman" w:cstheme="minorHAnsi"/>
                <w:bCs/>
                <w:sz w:val="20"/>
                <w:szCs w:val="20"/>
                <w:lang w:eastAsia="en-GB"/>
              </w:rPr>
            </w:pPr>
          </w:p>
        </w:tc>
        <w:tc>
          <w:tcPr>
            <w:tcW w:w="1559" w:type="dxa"/>
            <w:tcBorders>
              <w:top w:val="nil"/>
              <w:left w:val="nil"/>
              <w:bottom w:val="nil"/>
              <w:right w:val="nil"/>
            </w:tcBorders>
            <w:vAlign w:val="center"/>
          </w:tcPr>
          <w:p w14:paraId="557FA1C4"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31 December</w:t>
            </w:r>
          </w:p>
        </w:tc>
        <w:tc>
          <w:tcPr>
            <w:tcW w:w="1527" w:type="dxa"/>
            <w:tcBorders>
              <w:top w:val="nil"/>
              <w:left w:val="nil"/>
              <w:bottom w:val="nil"/>
              <w:right w:val="nil"/>
            </w:tcBorders>
            <w:shd w:val="clear" w:color="auto" w:fill="auto"/>
            <w:noWrap/>
            <w:vAlign w:val="center"/>
          </w:tcPr>
          <w:p w14:paraId="1C6DC16F" w14:textId="77777777" w:rsidR="00DA54F3" w:rsidRPr="001B02FE" w:rsidRDefault="00DA54F3" w:rsidP="00A535DB">
            <w:pPr>
              <w:spacing w:after="0" w:line="240" w:lineRule="auto"/>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31 December </w:t>
            </w:r>
          </w:p>
        </w:tc>
      </w:tr>
      <w:tr w:rsidR="00DA54F3" w:rsidRPr="001B02FE" w14:paraId="027BD6CD" w14:textId="77777777" w:rsidTr="00A535DB">
        <w:trPr>
          <w:trHeight w:val="290"/>
        </w:trPr>
        <w:tc>
          <w:tcPr>
            <w:tcW w:w="5812" w:type="dxa"/>
            <w:tcBorders>
              <w:top w:val="nil"/>
              <w:left w:val="nil"/>
              <w:right w:val="nil"/>
            </w:tcBorders>
            <w:shd w:val="clear" w:color="auto" w:fill="auto"/>
            <w:noWrap/>
            <w:vAlign w:val="center"/>
          </w:tcPr>
          <w:p w14:paraId="2A6279E5" w14:textId="77777777" w:rsidR="00DA54F3" w:rsidRPr="001B02FE" w:rsidRDefault="00DA54F3" w:rsidP="00A535DB">
            <w:pPr>
              <w:spacing w:after="0" w:line="240" w:lineRule="auto"/>
              <w:rPr>
                <w:rFonts w:eastAsia="Times New Roman" w:cstheme="minorHAnsi"/>
                <w:sz w:val="20"/>
                <w:szCs w:val="20"/>
                <w:lang w:eastAsia="en-GB"/>
              </w:rPr>
            </w:pPr>
          </w:p>
        </w:tc>
        <w:tc>
          <w:tcPr>
            <w:tcW w:w="851" w:type="dxa"/>
            <w:tcBorders>
              <w:top w:val="nil"/>
              <w:left w:val="nil"/>
              <w:right w:val="nil"/>
            </w:tcBorders>
            <w:vAlign w:val="center"/>
          </w:tcPr>
          <w:p w14:paraId="1EEB00A3" w14:textId="77777777" w:rsidR="00DA54F3" w:rsidRPr="001B02FE" w:rsidRDefault="00DA54F3" w:rsidP="00A535DB">
            <w:pPr>
              <w:spacing w:after="0" w:line="240" w:lineRule="auto"/>
              <w:jc w:val="center"/>
              <w:rPr>
                <w:rFonts w:eastAsia="Times New Roman" w:cstheme="minorHAnsi"/>
                <w:bCs/>
                <w:sz w:val="20"/>
                <w:szCs w:val="20"/>
                <w:lang w:eastAsia="en-GB"/>
              </w:rPr>
            </w:pPr>
          </w:p>
        </w:tc>
        <w:tc>
          <w:tcPr>
            <w:tcW w:w="1559" w:type="dxa"/>
            <w:tcBorders>
              <w:top w:val="nil"/>
              <w:left w:val="nil"/>
              <w:right w:val="nil"/>
            </w:tcBorders>
            <w:vAlign w:val="center"/>
          </w:tcPr>
          <w:p w14:paraId="38843AC4"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2019</w:t>
            </w:r>
          </w:p>
        </w:tc>
        <w:tc>
          <w:tcPr>
            <w:tcW w:w="1527" w:type="dxa"/>
            <w:tcBorders>
              <w:top w:val="nil"/>
              <w:left w:val="nil"/>
              <w:right w:val="nil"/>
            </w:tcBorders>
            <w:shd w:val="clear" w:color="auto" w:fill="auto"/>
            <w:noWrap/>
            <w:vAlign w:val="center"/>
          </w:tcPr>
          <w:p w14:paraId="43CF4AF8" w14:textId="77777777" w:rsidR="00DA54F3" w:rsidRPr="001B02FE" w:rsidRDefault="00DA54F3" w:rsidP="00A535DB">
            <w:pPr>
              <w:spacing w:after="0" w:line="240" w:lineRule="auto"/>
              <w:jc w:val="right"/>
              <w:rPr>
                <w:rFonts w:eastAsia="Times New Roman" w:cstheme="minorHAnsi"/>
                <w:bCs/>
                <w:sz w:val="20"/>
                <w:szCs w:val="20"/>
                <w:lang w:eastAsia="en-GB"/>
              </w:rPr>
            </w:pPr>
            <w:r w:rsidRPr="001B02FE">
              <w:rPr>
                <w:rFonts w:eastAsia="Times New Roman" w:cstheme="minorHAnsi"/>
                <w:bCs/>
                <w:sz w:val="20"/>
                <w:szCs w:val="20"/>
                <w:lang w:eastAsia="en-GB"/>
              </w:rPr>
              <w:t>2018</w:t>
            </w:r>
          </w:p>
        </w:tc>
      </w:tr>
      <w:tr w:rsidR="00DA54F3" w:rsidRPr="001B02FE" w14:paraId="3C206878" w14:textId="77777777" w:rsidTr="00A535DB">
        <w:trPr>
          <w:trHeight w:val="290"/>
        </w:trPr>
        <w:tc>
          <w:tcPr>
            <w:tcW w:w="5812" w:type="dxa"/>
            <w:tcBorders>
              <w:top w:val="nil"/>
              <w:left w:val="nil"/>
              <w:bottom w:val="single" w:sz="4" w:space="0" w:color="auto"/>
              <w:right w:val="nil"/>
            </w:tcBorders>
            <w:shd w:val="clear" w:color="auto" w:fill="auto"/>
            <w:noWrap/>
            <w:vAlign w:val="center"/>
          </w:tcPr>
          <w:p w14:paraId="63EC2D9E" w14:textId="77777777" w:rsidR="00DA54F3" w:rsidRPr="001B02FE" w:rsidRDefault="00DA54F3" w:rsidP="00A535DB">
            <w:pPr>
              <w:spacing w:after="0" w:line="240" w:lineRule="auto"/>
              <w:rPr>
                <w:rFonts w:eastAsia="Times New Roman" w:cstheme="minorHAnsi"/>
                <w:sz w:val="20"/>
                <w:szCs w:val="20"/>
                <w:lang w:eastAsia="en-GB"/>
              </w:rPr>
            </w:pPr>
          </w:p>
        </w:tc>
        <w:tc>
          <w:tcPr>
            <w:tcW w:w="851" w:type="dxa"/>
            <w:tcBorders>
              <w:top w:val="nil"/>
              <w:left w:val="nil"/>
              <w:bottom w:val="single" w:sz="4" w:space="0" w:color="auto"/>
              <w:right w:val="nil"/>
            </w:tcBorders>
            <w:vAlign w:val="center"/>
          </w:tcPr>
          <w:p w14:paraId="769EFA9D" w14:textId="77777777" w:rsidR="00DA54F3" w:rsidRPr="001B02FE" w:rsidRDefault="00DA54F3" w:rsidP="00A535DB">
            <w:pPr>
              <w:spacing w:after="0" w:line="240" w:lineRule="auto"/>
              <w:jc w:val="center"/>
              <w:rPr>
                <w:rFonts w:eastAsia="Times New Roman" w:cstheme="minorHAnsi"/>
                <w:bCs/>
                <w:sz w:val="20"/>
                <w:szCs w:val="20"/>
                <w:lang w:eastAsia="en-GB"/>
              </w:rPr>
            </w:pPr>
            <w:r w:rsidRPr="001B02FE">
              <w:rPr>
                <w:rFonts w:eastAsia="Times New Roman" w:cstheme="minorHAnsi"/>
                <w:bCs/>
                <w:sz w:val="20"/>
                <w:szCs w:val="20"/>
                <w:lang w:eastAsia="en-GB"/>
              </w:rPr>
              <w:t>Notes</w:t>
            </w:r>
          </w:p>
        </w:tc>
        <w:tc>
          <w:tcPr>
            <w:tcW w:w="1559" w:type="dxa"/>
            <w:tcBorders>
              <w:top w:val="nil"/>
              <w:left w:val="nil"/>
              <w:bottom w:val="single" w:sz="4" w:space="0" w:color="auto"/>
              <w:right w:val="nil"/>
            </w:tcBorders>
            <w:vAlign w:val="center"/>
          </w:tcPr>
          <w:p w14:paraId="4C013F50"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 xml:space="preserve">£’000 </w:t>
            </w:r>
          </w:p>
        </w:tc>
        <w:tc>
          <w:tcPr>
            <w:tcW w:w="1527" w:type="dxa"/>
            <w:tcBorders>
              <w:top w:val="nil"/>
              <w:left w:val="nil"/>
              <w:bottom w:val="single" w:sz="4" w:space="0" w:color="auto"/>
              <w:right w:val="nil"/>
            </w:tcBorders>
            <w:shd w:val="clear" w:color="auto" w:fill="auto"/>
            <w:noWrap/>
            <w:vAlign w:val="center"/>
          </w:tcPr>
          <w:p w14:paraId="66E6B7A7" w14:textId="77777777" w:rsidR="00DA54F3" w:rsidRPr="001B02FE" w:rsidRDefault="00DA54F3" w:rsidP="00A535DB">
            <w:pPr>
              <w:spacing w:after="0" w:line="240" w:lineRule="auto"/>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£’000 </w:t>
            </w:r>
          </w:p>
        </w:tc>
      </w:tr>
      <w:tr w:rsidR="00DA54F3" w:rsidRPr="001B02FE" w14:paraId="6BFB5B2B" w14:textId="77777777" w:rsidTr="00A535DB">
        <w:trPr>
          <w:trHeight w:val="290"/>
        </w:trPr>
        <w:tc>
          <w:tcPr>
            <w:tcW w:w="5812" w:type="dxa"/>
            <w:tcBorders>
              <w:top w:val="nil"/>
              <w:left w:val="nil"/>
              <w:bottom w:val="nil"/>
              <w:right w:val="nil"/>
            </w:tcBorders>
            <w:shd w:val="clear" w:color="auto" w:fill="auto"/>
            <w:noWrap/>
            <w:vAlign w:val="center"/>
          </w:tcPr>
          <w:p w14:paraId="4254A586"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Cash flows from operating activities</w:t>
            </w:r>
          </w:p>
        </w:tc>
        <w:tc>
          <w:tcPr>
            <w:tcW w:w="851" w:type="dxa"/>
            <w:tcBorders>
              <w:top w:val="nil"/>
              <w:left w:val="nil"/>
              <w:bottom w:val="nil"/>
              <w:right w:val="nil"/>
            </w:tcBorders>
            <w:vAlign w:val="center"/>
          </w:tcPr>
          <w:p w14:paraId="445EEF07" w14:textId="77777777" w:rsidR="00DA54F3" w:rsidRPr="001B02FE" w:rsidRDefault="00DA54F3" w:rsidP="00A535DB">
            <w:pPr>
              <w:spacing w:after="0" w:line="240" w:lineRule="auto"/>
              <w:jc w:val="center"/>
              <w:rPr>
                <w:rFonts w:eastAsia="Times New Roman" w:cstheme="minorHAnsi"/>
                <w:sz w:val="20"/>
                <w:szCs w:val="20"/>
                <w:highlight w:val="yellow"/>
                <w:lang w:eastAsia="en-GB"/>
              </w:rPr>
            </w:pPr>
          </w:p>
        </w:tc>
        <w:tc>
          <w:tcPr>
            <w:tcW w:w="1559" w:type="dxa"/>
            <w:tcBorders>
              <w:top w:val="nil"/>
              <w:left w:val="nil"/>
              <w:bottom w:val="nil"/>
              <w:right w:val="nil"/>
            </w:tcBorders>
            <w:vAlign w:val="center"/>
          </w:tcPr>
          <w:p w14:paraId="0904C839" w14:textId="77777777" w:rsidR="00DA54F3" w:rsidRPr="001B02FE" w:rsidRDefault="00DA54F3" w:rsidP="00A535DB">
            <w:pPr>
              <w:spacing w:after="0" w:line="240" w:lineRule="auto"/>
              <w:jc w:val="right"/>
              <w:rPr>
                <w:rFonts w:eastAsia="Times New Roman" w:cstheme="minorHAnsi"/>
                <w:b/>
                <w:sz w:val="20"/>
                <w:szCs w:val="20"/>
                <w:highlight w:val="yellow"/>
                <w:lang w:eastAsia="en-GB"/>
              </w:rPr>
            </w:pPr>
          </w:p>
        </w:tc>
        <w:tc>
          <w:tcPr>
            <w:tcW w:w="1527" w:type="dxa"/>
            <w:tcBorders>
              <w:top w:val="nil"/>
              <w:left w:val="nil"/>
              <w:bottom w:val="nil"/>
              <w:right w:val="nil"/>
            </w:tcBorders>
            <w:shd w:val="clear" w:color="auto" w:fill="auto"/>
            <w:noWrap/>
            <w:vAlign w:val="center"/>
          </w:tcPr>
          <w:p w14:paraId="1781DCAB" w14:textId="77777777" w:rsidR="00DA54F3" w:rsidRPr="001B02FE" w:rsidRDefault="00DA54F3" w:rsidP="00A535DB">
            <w:pPr>
              <w:spacing w:after="0" w:line="240" w:lineRule="auto"/>
              <w:jc w:val="right"/>
              <w:rPr>
                <w:rFonts w:eastAsia="Times New Roman" w:cstheme="minorHAnsi"/>
                <w:sz w:val="20"/>
                <w:szCs w:val="20"/>
                <w:lang w:eastAsia="en-GB"/>
              </w:rPr>
            </w:pPr>
          </w:p>
        </w:tc>
      </w:tr>
      <w:tr w:rsidR="00DA54F3" w:rsidRPr="001B02FE" w14:paraId="0440FFA1" w14:textId="77777777" w:rsidTr="00A535DB">
        <w:trPr>
          <w:trHeight w:val="290"/>
        </w:trPr>
        <w:tc>
          <w:tcPr>
            <w:tcW w:w="5812" w:type="dxa"/>
            <w:tcBorders>
              <w:top w:val="nil"/>
              <w:left w:val="nil"/>
              <w:bottom w:val="nil"/>
              <w:right w:val="nil"/>
            </w:tcBorders>
            <w:shd w:val="clear" w:color="auto" w:fill="auto"/>
            <w:noWrap/>
            <w:vAlign w:val="center"/>
          </w:tcPr>
          <w:p w14:paraId="24E572AA"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Loss for the financial year</w:t>
            </w:r>
          </w:p>
        </w:tc>
        <w:tc>
          <w:tcPr>
            <w:tcW w:w="851" w:type="dxa"/>
            <w:tcBorders>
              <w:top w:val="nil"/>
              <w:left w:val="nil"/>
              <w:bottom w:val="nil"/>
              <w:right w:val="nil"/>
            </w:tcBorders>
            <w:vAlign w:val="center"/>
          </w:tcPr>
          <w:p w14:paraId="116CA8EB"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nil"/>
              <w:left w:val="nil"/>
              <w:bottom w:val="nil"/>
              <w:right w:val="nil"/>
            </w:tcBorders>
            <w:vAlign w:val="center"/>
          </w:tcPr>
          <w:p w14:paraId="10990BF3"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highlight w:val="yellow"/>
                <w:lang w:eastAsia="en-GB"/>
              </w:rPr>
            </w:pPr>
            <w:r w:rsidRPr="001B02FE">
              <w:rPr>
                <w:rFonts w:eastAsia="Times New Roman" w:cstheme="minorHAnsi"/>
                <w:b/>
                <w:sz w:val="20"/>
                <w:szCs w:val="20"/>
                <w:lang w:eastAsia="en-GB"/>
              </w:rPr>
              <w:t>(5,618)</w:t>
            </w:r>
          </w:p>
        </w:tc>
        <w:tc>
          <w:tcPr>
            <w:tcW w:w="1527" w:type="dxa"/>
            <w:tcBorders>
              <w:top w:val="nil"/>
              <w:left w:val="nil"/>
              <w:bottom w:val="nil"/>
              <w:right w:val="nil"/>
            </w:tcBorders>
            <w:shd w:val="clear" w:color="auto" w:fill="auto"/>
            <w:noWrap/>
            <w:vAlign w:val="center"/>
          </w:tcPr>
          <w:p w14:paraId="5A6C352E"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highlight w:val="yellow"/>
                <w:lang w:eastAsia="en-GB"/>
              </w:rPr>
            </w:pPr>
            <w:r w:rsidRPr="001B02FE">
              <w:rPr>
                <w:rFonts w:eastAsia="Times New Roman" w:cstheme="minorHAnsi"/>
                <w:bCs/>
                <w:sz w:val="20"/>
                <w:szCs w:val="20"/>
                <w:lang w:eastAsia="en-GB"/>
              </w:rPr>
              <w:t>(5,875)</w:t>
            </w:r>
          </w:p>
        </w:tc>
      </w:tr>
      <w:tr w:rsidR="00DA54F3" w:rsidRPr="001B02FE" w14:paraId="50707086" w14:textId="77777777" w:rsidTr="00A535DB">
        <w:trPr>
          <w:trHeight w:val="290"/>
        </w:trPr>
        <w:tc>
          <w:tcPr>
            <w:tcW w:w="5812" w:type="dxa"/>
            <w:tcBorders>
              <w:top w:val="nil"/>
              <w:left w:val="nil"/>
              <w:bottom w:val="nil"/>
              <w:right w:val="nil"/>
            </w:tcBorders>
            <w:shd w:val="clear" w:color="auto" w:fill="auto"/>
            <w:noWrap/>
            <w:vAlign w:val="center"/>
          </w:tcPr>
          <w:p w14:paraId="4C9B75C4" w14:textId="77777777" w:rsidR="00DA54F3" w:rsidRPr="001B02FE" w:rsidRDefault="00DA54F3" w:rsidP="00A535DB">
            <w:pPr>
              <w:spacing w:after="0" w:line="240" w:lineRule="auto"/>
              <w:rPr>
                <w:rFonts w:eastAsia="Times New Roman" w:cstheme="minorHAnsi"/>
                <w:b/>
                <w:i/>
                <w:sz w:val="20"/>
                <w:szCs w:val="20"/>
                <w:lang w:eastAsia="en-GB"/>
              </w:rPr>
            </w:pPr>
            <w:r w:rsidRPr="001B02FE">
              <w:rPr>
                <w:rFonts w:eastAsia="Times New Roman" w:cstheme="minorHAnsi"/>
                <w:b/>
                <w:i/>
                <w:sz w:val="20"/>
                <w:szCs w:val="20"/>
                <w:lang w:eastAsia="en-GB"/>
              </w:rPr>
              <w:t>Adjustments for:</w:t>
            </w:r>
          </w:p>
        </w:tc>
        <w:tc>
          <w:tcPr>
            <w:tcW w:w="851" w:type="dxa"/>
            <w:tcBorders>
              <w:top w:val="nil"/>
              <w:left w:val="nil"/>
              <w:bottom w:val="nil"/>
              <w:right w:val="nil"/>
            </w:tcBorders>
            <w:vAlign w:val="center"/>
          </w:tcPr>
          <w:p w14:paraId="0301B57A" w14:textId="77777777" w:rsidR="00DA54F3" w:rsidRPr="001B02FE" w:rsidRDefault="00DA54F3" w:rsidP="00A535DB">
            <w:pPr>
              <w:spacing w:after="0" w:line="240" w:lineRule="auto"/>
              <w:jc w:val="center"/>
              <w:rPr>
                <w:rFonts w:eastAsia="Times New Roman" w:cstheme="minorHAnsi"/>
                <w:b/>
                <w:i/>
                <w:sz w:val="20"/>
                <w:szCs w:val="20"/>
                <w:lang w:eastAsia="en-GB"/>
              </w:rPr>
            </w:pPr>
          </w:p>
        </w:tc>
        <w:tc>
          <w:tcPr>
            <w:tcW w:w="1559" w:type="dxa"/>
            <w:tcBorders>
              <w:top w:val="nil"/>
              <w:left w:val="nil"/>
              <w:bottom w:val="nil"/>
              <w:right w:val="nil"/>
            </w:tcBorders>
            <w:vAlign w:val="center"/>
          </w:tcPr>
          <w:p w14:paraId="739BB18E" w14:textId="77777777" w:rsidR="00DA54F3" w:rsidRPr="001B02FE" w:rsidRDefault="00DA54F3" w:rsidP="00A535DB">
            <w:pPr>
              <w:spacing w:after="0" w:line="240" w:lineRule="auto"/>
              <w:jc w:val="right"/>
              <w:rPr>
                <w:rFonts w:eastAsia="Times New Roman" w:cstheme="minorHAnsi"/>
                <w:b/>
                <w:i/>
                <w:sz w:val="20"/>
                <w:szCs w:val="20"/>
                <w:highlight w:val="yellow"/>
                <w:lang w:eastAsia="en-GB"/>
              </w:rPr>
            </w:pPr>
          </w:p>
        </w:tc>
        <w:tc>
          <w:tcPr>
            <w:tcW w:w="1527" w:type="dxa"/>
            <w:tcBorders>
              <w:top w:val="nil"/>
              <w:left w:val="nil"/>
              <w:bottom w:val="nil"/>
              <w:right w:val="nil"/>
            </w:tcBorders>
            <w:shd w:val="clear" w:color="auto" w:fill="auto"/>
            <w:noWrap/>
            <w:vAlign w:val="center"/>
          </w:tcPr>
          <w:p w14:paraId="36F7832F" w14:textId="77777777" w:rsidR="00DA54F3" w:rsidRPr="001B02FE" w:rsidRDefault="00DA54F3" w:rsidP="00A535DB">
            <w:pPr>
              <w:spacing w:after="0" w:line="240" w:lineRule="auto"/>
              <w:jc w:val="right"/>
              <w:rPr>
                <w:rFonts w:eastAsia="Times New Roman" w:cstheme="minorHAnsi"/>
                <w:bCs/>
                <w:i/>
                <w:sz w:val="20"/>
                <w:szCs w:val="20"/>
                <w:highlight w:val="yellow"/>
                <w:lang w:eastAsia="en-GB"/>
              </w:rPr>
            </w:pPr>
          </w:p>
        </w:tc>
      </w:tr>
      <w:tr w:rsidR="00DA54F3" w:rsidRPr="001B02FE" w14:paraId="16D2CAF0" w14:textId="77777777" w:rsidTr="00A535DB">
        <w:trPr>
          <w:trHeight w:val="290"/>
        </w:trPr>
        <w:tc>
          <w:tcPr>
            <w:tcW w:w="5812" w:type="dxa"/>
            <w:tcBorders>
              <w:top w:val="nil"/>
              <w:left w:val="nil"/>
              <w:bottom w:val="nil"/>
              <w:right w:val="nil"/>
            </w:tcBorders>
            <w:shd w:val="clear" w:color="auto" w:fill="auto"/>
            <w:noWrap/>
            <w:vAlign w:val="center"/>
          </w:tcPr>
          <w:p w14:paraId="0499A557"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 xml:space="preserve">Amortisation </w:t>
            </w:r>
          </w:p>
        </w:tc>
        <w:tc>
          <w:tcPr>
            <w:tcW w:w="851" w:type="dxa"/>
            <w:tcBorders>
              <w:top w:val="nil"/>
              <w:left w:val="nil"/>
              <w:bottom w:val="nil"/>
              <w:right w:val="nil"/>
            </w:tcBorders>
            <w:vAlign w:val="center"/>
          </w:tcPr>
          <w:p w14:paraId="1568BA39" w14:textId="7E111248" w:rsidR="00DA54F3" w:rsidRPr="001B02FE" w:rsidRDefault="00DA54F3" w:rsidP="00A535DB">
            <w:pPr>
              <w:spacing w:after="0" w:line="240" w:lineRule="auto"/>
              <w:jc w:val="center"/>
              <w:rPr>
                <w:rFonts w:eastAsia="Times New Roman" w:cstheme="minorHAnsi"/>
                <w:sz w:val="20"/>
                <w:szCs w:val="20"/>
                <w:lang w:eastAsia="en-GB"/>
              </w:rPr>
            </w:pPr>
          </w:p>
        </w:tc>
        <w:tc>
          <w:tcPr>
            <w:tcW w:w="1559" w:type="dxa"/>
            <w:tcBorders>
              <w:top w:val="nil"/>
              <w:left w:val="nil"/>
              <w:bottom w:val="nil"/>
              <w:right w:val="nil"/>
            </w:tcBorders>
            <w:vAlign w:val="center"/>
          </w:tcPr>
          <w:p w14:paraId="6DBCD859"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2,129</w:t>
            </w:r>
          </w:p>
        </w:tc>
        <w:tc>
          <w:tcPr>
            <w:tcW w:w="1527" w:type="dxa"/>
            <w:tcBorders>
              <w:top w:val="nil"/>
              <w:left w:val="nil"/>
              <w:bottom w:val="nil"/>
              <w:right w:val="nil"/>
            </w:tcBorders>
            <w:shd w:val="clear" w:color="auto" w:fill="auto"/>
            <w:noWrap/>
            <w:vAlign w:val="center"/>
          </w:tcPr>
          <w:p w14:paraId="00C4BEA7"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555</w:t>
            </w:r>
          </w:p>
        </w:tc>
      </w:tr>
      <w:tr w:rsidR="00DA54F3" w:rsidRPr="001B02FE" w14:paraId="35822CD9" w14:textId="77777777" w:rsidTr="00A535DB">
        <w:trPr>
          <w:trHeight w:val="290"/>
        </w:trPr>
        <w:tc>
          <w:tcPr>
            <w:tcW w:w="5812" w:type="dxa"/>
            <w:tcBorders>
              <w:top w:val="nil"/>
              <w:left w:val="nil"/>
              <w:bottom w:val="nil"/>
              <w:right w:val="nil"/>
            </w:tcBorders>
            <w:shd w:val="clear" w:color="auto" w:fill="auto"/>
            <w:noWrap/>
            <w:vAlign w:val="center"/>
          </w:tcPr>
          <w:p w14:paraId="2FC00A7E"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Amortisation of right-of-use asset</w:t>
            </w:r>
          </w:p>
        </w:tc>
        <w:tc>
          <w:tcPr>
            <w:tcW w:w="851" w:type="dxa"/>
            <w:tcBorders>
              <w:top w:val="nil"/>
              <w:left w:val="nil"/>
              <w:bottom w:val="nil"/>
              <w:right w:val="nil"/>
            </w:tcBorders>
            <w:vAlign w:val="center"/>
          </w:tcPr>
          <w:p w14:paraId="755F56AE" w14:textId="6FF73D47" w:rsidR="00DA54F3" w:rsidRPr="001B02FE" w:rsidRDefault="00DA54F3" w:rsidP="00A535DB">
            <w:pPr>
              <w:spacing w:after="0" w:line="240" w:lineRule="auto"/>
              <w:jc w:val="center"/>
              <w:rPr>
                <w:rFonts w:eastAsia="Times New Roman" w:cstheme="minorHAnsi"/>
                <w:sz w:val="20"/>
                <w:szCs w:val="20"/>
                <w:lang w:eastAsia="en-GB"/>
              </w:rPr>
            </w:pPr>
          </w:p>
        </w:tc>
        <w:tc>
          <w:tcPr>
            <w:tcW w:w="1559" w:type="dxa"/>
            <w:tcBorders>
              <w:top w:val="nil"/>
              <w:left w:val="nil"/>
              <w:bottom w:val="nil"/>
              <w:right w:val="nil"/>
            </w:tcBorders>
            <w:vAlign w:val="center"/>
          </w:tcPr>
          <w:p w14:paraId="658D3DAB"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156</w:t>
            </w:r>
          </w:p>
        </w:tc>
        <w:tc>
          <w:tcPr>
            <w:tcW w:w="1527" w:type="dxa"/>
            <w:tcBorders>
              <w:top w:val="nil"/>
              <w:left w:val="nil"/>
              <w:bottom w:val="nil"/>
              <w:right w:val="nil"/>
            </w:tcBorders>
            <w:shd w:val="clear" w:color="auto" w:fill="auto"/>
            <w:noWrap/>
            <w:vAlign w:val="center"/>
          </w:tcPr>
          <w:p w14:paraId="7683B34B"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
                <w:sz w:val="20"/>
                <w:szCs w:val="20"/>
                <w:lang w:eastAsia="en-GB"/>
              </w:rPr>
              <w:t>–</w:t>
            </w:r>
          </w:p>
        </w:tc>
      </w:tr>
      <w:tr w:rsidR="00DA54F3" w:rsidRPr="001B02FE" w14:paraId="348F73F1" w14:textId="77777777" w:rsidTr="00A535DB">
        <w:trPr>
          <w:trHeight w:val="290"/>
        </w:trPr>
        <w:tc>
          <w:tcPr>
            <w:tcW w:w="5812" w:type="dxa"/>
            <w:tcBorders>
              <w:top w:val="nil"/>
              <w:left w:val="nil"/>
              <w:bottom w:val="nil"/>
              <w:right w:val="nil"/>
            </w:tcBorders>
            <w:shd w:val="clear" w:color="auto" w:fill="auto"/>
            <w:noWrap/>
            <w:vAlign w:val="center"/>
          </w:tcPr>
          <w:p w14:paraId="5DFF4A2F"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Depreciation</w:t>
            </w:r>
          </w:p>
        </w:tc>
        <w:tc>
          <w:tcPr>
            <w:tcW w:w="851" w:type="dxa"/>
            <w:tcBorders>
              <w:top w:val="nil"/>
              <w:left w:val="nil"/>
              <w:bottom w:val="nil"/>
              <w:right w:val="nil"/>
            </w:tcBorders>
            <w:vAlign w:val="center"/>
          </w:tcPr>
          <w:p w14:paraId="25CDE69C" w14:textId="7AF6C6FF" w:rsidR="00DA54F3" w:rsidRPr="001B02FE" w:rsidRDefault="00DA54F3" w:rsidP="00A535DB">
            <w:pPr>
              <w:spacing w:after="0" w:line="240" w:lineRule="auto"/>
              <w:jc w:val="center"/>
              <w:rPr>
                <w:rFonts w:eastAsia="Times New Roman" w:cstheme="minorHAnsi"/>
                <w:sz w:val="20"/>
                <w:szCs w:val="20"/>
                <w:lang w:eastAsia="en-GB"/>
              </w:rPr>
            </w:pPr>
          </w:p>
        </w:tc>
        <w:tc>
          <w:tcPr>
            <w:tcW w:w="1559" w:type="dxa"/>
            <w:tcBorders>
              <w:top w:val="nil"/>
              <w:left w:val="nil"/>
              <w:bottom w:val="nil"/>
              <w:right w:val="nil"/>
            </w:tcBorders>
            <w:vAlign w:val="center"/>
          </w:tcPr>
          <w:p w14:paraId="6714B9F9"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489</w:t>
            </w:r>
          </w:p>
        </w:tc>
        <w:tc>
          <w:tcPr>
            <w:tcW w:w="1527" w:type="dxa"/>
            <w:tcBorders>
              <w:top w:val="nil"/>
              <w:left w:val="nil"/>
              <w:bottom w:val="nil"/>
              <w:right w:val="nil"/>
            </w:tcBorders>
            <w:shd w:val="clear" w:color="auto" w:fill="auto"/>
            <w:noWrap/>
            <w:vAlign w:val="center"/>
          </w:tcPr>
          <w:p w14:paraId="212F745A"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371</w:t>
            </w:r>
          </w:p>
        </w:tc>
      </w:tr>
      <w:tr w:rsidR="00DA54F3" w:rsidRPr="001B02FE" w14:paraId="016A6BF7" w14:textId="77777777" w:rsidTr="00A535DB">
        <w:trPr>
          <w:trHeight w:val="290"/>
        </w:trPr>
        <w:tc>
          <w:tcPr>
            <w:tcW w:w="5812" w:type="dxa"/>
            <w:tcBorders>
              <w:top w:val="nil"/>
              <w:left w:val="nil"/>
              <w:bottom w:val="nil"/>
              <w:right w:val="nil"/>
            </w:tcBorders>
            <w:shd w:val="clear" w:color="auto" w:fill="auto"/>
            <w:noWrap/>
            <w:vAlign w:val="center"/>
          </w:tcPr>
          <w:p w14:paraId="7E5FB6D2"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Taxation</w:t>
            </w:r>
          </w:p>
        </w:tc>
        <w:tc>
          <w:tcPr>
            <w:tcW w:w="851" w:type="dxa"/>
            <w:tcBorders>
              <w:top w:val="nil"/>
              <w:left w:val="nil"/>
              <w:bottom w:val="nil"/>
              <w:right w:val="nil"/>
            </w:tcBorders>
            <w:vAlign w:val="center"/>
          </w:tcPr>
          <w:p w14:paraId="38F58110" w14:textId="683D2EBA"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nil"/>
              <w:left w:val="nil"/>
              <w:bottom w:val="nil"/>
              <w:right w:val="nil"/>
            </w:tcBorders>
            <w:vAlign w:val="center"/>
          </w:tcPr>
          <w:p w14:paraId="3D651682"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554</w:t>
            </w:r>
          </w:p>
        </w:tc>
        <w:tc>
          <w:tcPr>
            <w:tcW w:w="1527" w:type="dxa"/>
            <w:tcBorders>
              <w:top w:val="nil"/>
              <w:left w:val="nil"/>
              <w:bottom w:val="nil"/>
              <w:right w:val="nil"/>
            </w:tcBorders>
            <w:shd w:val="clear" w:color="auto" w:fill="auto"/>
            <w:noWrap/>
            <w:vAlign w:val="center"/>
          </w:tcPr>
          <w:p w14:paraId="6A1D4EF1"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(115)</w:t>
            </w:r>
          </w:p>
        </w:tc>
      </w:tr>
      <w:tr w:rsidR="00DA54F3" w:rsidRPr="001B02FE" w14:paraId="06A2F5B0" w14:textId="77777777" w:rsidTr="00A535DB">
        <w:trPr>
          <w:trHeight w:val="290"/>
        </w:trPr>
        <w:tc>
          <w:tcPr>
            <w:tcW w:w="5812" w:type="dxa"/>
            <w:tcBorders>
              <w:top w:val="nil"/>
              <w:left w:val="nil"/>
              <w:bottom w:val="single" w:sz="4" w:space="0" w:color="auto"/>
              <w:right w:val="nil"/>
            </w:tcBorders>
            <w:shd w:val="clear" w:color="auto" w:fill="auto"/>
            <w:noWrap/>
            <w:vAlign w:val="center"/>
          </w:tcPr>
          <w:p w14:paraId="6ABC923C"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Share based payment charge</w:t>
            </w:r>
          </w:p>
        </w:tc>
        <w:tc>
          <w:tcPr>
            <w:tcW w:w="851" w:type="dxa"/>
            <w:tcBorders>
              <w:top w:val="nil"/>
              <w:left w:val="nil"/>
              <w:bottom w:val="single" w:sz="4" w:space="0" w:color="auto"/>
              <w:right w:val="nil"/>
            </w:tcBorders>
            <w:vAlign w:val="center"/>
          </w:tcPr>
          <w:p w14:paraId="5F42E7C8"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559" w:type="dxa"/>
            <w:tcBorders>
              <w:top w:val="nil"/>
              <w:left w:val="nil"/>
              <w:bottom w:val="single" w:sz="4" w:space="0" w:color="auto"/>
              <w:right w:val="nil"/>
            </w:tcBorders>
            <w:vAlign w:val="center"/>
          </w:tcPr>
          <w:p w14:paraId="24C2BCBF"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1,165</w:t>
            </w:r>
          </w:p>
        </w:tc>
        <w:tc>
          <w:tcPr>
            <w:tcW w:w="1527" w:type="dxa"/>
            <w:tcBorders>
              <w:top w:val="nil"/>
              <w:left w:val="nil"/>
              <w:bottom w:val="single" w:sz="4" w:space="0" w:color="auto"/>
              <w:right w:val="nil"/>
            </w:tcBorders>
            <w:shd w:val="clear" w:color="auto" w:fill="auto"/>
            <w:noWrap/>
            <w:vAlign w:val="center"/>
          </w:tcPr>
          <w:p w14:paraId="5DCFC41A"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1,922</w:t>
            </w:r>
          </w:p>
        </w:tc>
      </w:tr>
      <w:tr w:rsidR="00DA54F3" w:rsidRPr="001B02FE" w14:paraId="1E472898" w14:textId="77777777" w:rsidTr="00A535DB">
        <w:trPr>
          <w:trHeight w:val="290"/>
        </w:trPr>
        <w:tc>
          <w:tcPr>
            <w:tcW w:w="5812" w:type="dxa"/>
            <w:tcBorders>
              <w:top w:val="single" w:sz="4" w:space="0" w:color="auto"/>
              <w:left w:val="nil"/>
              <w:bottom w:val="single" w:sz="4" w:space="0" w:color="auto"/>
              <w:right w:val="nil"/>
            </w:tcBorders>
            <w:shd w:val="clear" w:color="auto" w:fill="auto"/>
            <w:noWrap/>
            <w:vAlign w:val="center"/>
          </w:tcPr>
          <w:p w14:paraId="34B8050E"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Operating cash outflow before changes in working capital</w:t>
            </w:r>
          </w:p>
        </w:tc>
        <w:tc>
          <w:tcPr>
            <w:tcW w:w="851" w:type="dxa"/>
            <w:tcBorders>
              <w:top w:val="single" w:sz="4" w:space="0" w:color="auto"/>
              <w:left w:val="nil"/>
              <w:bottom w:val="single" w:sz="4" w:space="0" w:color="auto"/>
              <w:right w:val="nil"/>
            </w:tcBorders>
            <w:vAlign w:val="center"/>
          </w:tcPr>
          <w:p w14:paraId="12A6B2B2"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single" w:sz="4" w:space="0" w:color="auto"/>
              <w:left w:val="nil"/>
              <w:bottom w:val="single" w:sz="4" w:space="0" w:color="auto"/>
              <w:right w:val="nil"/>
            </w:tcBorders>
            <w:vAlign w:val="center"/>
          </w:tcPr>
          <w:p w14:paraId="20220A84"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highlight w:val="yellow"/>
                <w:lang w:eastAsia="en-GB"/>
              </w:rPr>
            </w:pPr>
            <w:r w:rsidRPr="001B02FE">
              <w:rPr>
                <w:rFonts w:eastAsia="Times New Roman" w:cstheme="minorHAnsi"/>
                <w:b/>
                <w:sz w:val="20"/>
                <w:szCs w:val="20"/>
                <w:lang w:eastAsia="en-GB"/>
              </w:rPr>
              <w:t>(1,125)</w:t>
            </w:r>
          </w:p>
        </w:tc>
        <w:tc>
          <w:tcPr>
            <w:tcW w:w="1527" w:type="dxa"/>
            <w:tcBorders>
              <w:top w:val="single" w:sz="4" w:space="0" w:color="auto"/>
              <w:left w:val="nil"/>
              <w:bottom w:val="single" w:sz="4" w:space="0" w:color="auto"/>
              <w:right w:val="nil"/>
            </w:tcBorders>
            <w:shd w:val="clear" w:color="auto" w:fill="auto"/>
            <w:noWrap/>
            <w:vAlign w:val="center"/>
          </w:tcPr>
          <w:p w14:paraId="54FA381A"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highlight w:val="yellow"/>
                <w:lang w:eastAsia="en-GB"/>
              </w:rPr>
            </w:pPr>
            <w:r w:rsidRPr="001B02FE">
              <w:rPr>
                <w:rFonts w:eastAsia="Times New Roman" w:cstheme="minorHAnsi"/>
                <w:bCs/>
                <w:sz w:val="20"/>
                <w:szCs w:val="20"/>
                <w:lang w:eastAsia="en-GB"/>
              </w:rPr>
              <w:t>(3,142)</w:t>
            </w:r>
          </w:p>
        </w:tc>
      </w:tr>
      <w:tr w:rsidR="00DA54F3" w:rsidRPr="001B02FE" w14:paraId="4B2A7EF9" w14:textId="77777777" w:rsidTr="00A535DB">
        <w:trPr>
          <w:trHeight w:val="290"/>
        </w:trPr>
        <w:tc>
          <w:tcPr>
            <w:tcW w:w="5812" w:type="dxa"/>
            <w:tcBorders>
              <w:top w:val="single" w:sz="4" w:space="0" w:color="auto"/>
              <w:left w:val="nil"/>
              <w:bottom w:val="nil"/>
              <w:right w:val="nil"/>
            </w:tcBorders>
            <w:shd w:val="clear" w:color="auto" w:fill="auto"/>
            <w:noWrap/>
            <w:vAlign w:val="center"/>
          </w:tcPr>
          <w:p w14:paraId="2AED1F52" w14:textId="77777777" w:rsidR="00DA54F3" w:rsidRPr="001B02FE" w:rsidRDefault="00DA54F3" w:rsidP="00A535DB">
            <w:pPr>
              <w:spacing w:after="0" w:line="240" w:lineRule="auto"/>
              <w:rPr>
                <w:rFonts w:eastAsia="Times New Roman" w:cstheme="minorHAnsi"/>
                <w:sz w:val="20"/>
                <w:szCs w:val="20"/>
                <w:highlight w:val="yellow"/>
                <w:lang w:eastAsia="en-GB"/>
              </w:rPr>
            </w:pPr>
          </w:p>
        </w:tc>
        <w:tc>
          <w:tcPr>
            <w:tcW w:w="851" w:type="dxa"/>
            <w:tcBorders>
              <w:top w:val="single" w:sz="4" w:space="0" w:color="auto"/>
              <w:left w:val="nil"/>
              <w:bottom w:val="nil"/>
              <w:right w:val="nil"/>
            </w:tcBorders>
            <w:vAlign w:val="center"/>
          </w:tcPr>
          <w:p w14:paraId="65D746EE"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single" w:sz="4" w:space="0" w:color="auto"/>
              <w:left w:val="nil"/>
              <w:bottom w:val="nil"/>
              <w:right w:val="nil"/>
            </w:tcBorders>
            <w:vAlign w:val="center"/>
          </w:tcPr>
          <w:p w14:paraId="0EC916DE" w14:textId="77777777" w:rsidR="00DA54F3" w:rsidRPr="001B02FE" w:rsidRDefault="00DA54F3" w:rsidP="00A535DB">
            <w:pPr>
              <w:spacing w:after="0" w:line="240" w:lineRule="auto"/>
              <w:ind w:right="-57"/>
              <w:jc w:val="right"/>
              <w:rPr>
                <w:rFonts w:eastAsia="Times New Roman" w:cstheme="minorHAnsi"/>
                <w:b/>
                <w:sz w:val="20"/>
                <w:szCs w:val="20"/>
                <w:highlight w:val="yellow"/>
                <w:lang w:eastAsia="en-GB"/>
              </w:rPr>
            </w:pPr>
          </w:p>
        </w:tc>
        <w:tc>
          <w:tcPr>
            <w:tcW w:w="1527" w:type="dxa"/>
            <w:tcBorders>
              <w:top w:val="single" w:sz="4" w:space="0" w:color="auto"/>
              <w:left w:val="nil"/>
              <w:bottom w:val="nil"/>
              <w:right w:val="nil"/>
            </w:tcBorders>
            <w:shd w:val="clear" w:color="auto" w:fill="auto"/>
            <w:noWrap/>
            <w:vAlign w:val="center"/>
          </w:tcPr>
          <w:p w14:paraId="537F0688" w14:textId="77777777" w:rsidR="00DA54F3" w:rsidRPr="001B02FE" w:rsidRDefault="00DA54F3" w:rsidP="00A535DB">
            <w:pPr>
              <w:spacing w:after="0" w:line="240" w:lineRule="auto"/>
              <w:ind w:right="-57"/>
              <w:jc w:val="right"/>
              <w:rPr>
                <w:rFonts w:eastAsia="Times New Roman" w:cstheme="minorHAnsi"/>
                <w:bCs/>
                <w:sz w:val="20"/>
                <w:szCs w:val="20"/>
                <w:highlight w:val="yellow"/>
                <w:lang w:eastAsia="en-GB"/>
              </w:rPr>
            </w:pPr>
          </w:p>
        </w:tc>
      </w:tr>
      <w:tr w:rsidR="00DA54F3" w:rsidRPr="001B02FE" w14:paraId="24937333" w14:textId="77777777" w:rsidTr="00A535DB">
        <w:trPr>
          <w:trHeight w:val="290"/>
        </w:trPr>
        <w:tc>
          <w:tcPr>
            <w:tcW w:w="5812" w:type="dxa"/>
            <w:tcBorders>
              <w:top w:val="nil"/>
              <w:left w:val="nil"/>
              <w:bottom w:val="nil"/>
              <w:right w:val="nil"/>
            </w:tcBorders>
            <w:shd w:val="clear" w:color="auto" w:fill="auto"/>
            <w:noWrap/>
            <w:vAlign w:val="center"/>
          </w:tcPr>
          <w:p w14:paraId="3856020E"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Changes in inventories</w:t>
            </w:r>
          </w:p>
        </w:tc>
        <w:tc>
          <w:tcPr>
            <w:tcW w:w="851" w:type="dxa"/>
            <w:tcBorders>
              <w:top w:val="nil"/>
              <w:left w:val="nil"/>
              <w:bottom w:val="nil"/>
              <w:right w:val="nil"/>
            </w:tcBorders>
            <w:vAlign w:val="center"/>
          </w:tcPr>
          <w:p w14:paraId="5699A6A1"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nil"/>
              <w:left w:val="nil"/>
              <w:bottom w:val="nil"/>
              <w:right w:val="nil"/>
            </w:tcBorders>
            <w:vAlign w:val="center"/>
          </w:tcPr>
          <w:p w14:paraId="5F9A5CA2"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961</w:t>
            </w:r>
          </w:p>
        </w:tc>
        <w:tc>
          <w:tcPr>
            <w:tcW w:w="1527" w:type="dxa"/>
            <w:tcBorders>
              <w:top w:val="nil"/>
              <w:left w:val="nil"/>
              <w:bottom w:val="nil"/>
              <w:right w:val="nil"/>
            </w:tcBorders>
            <w:shd w:val="clear" w:color="auto" w:fill="auto"/>
            <w:noWrap/>
            <w:vAlign w:val="center"/>
          </w:tcPr>
          <w:p w14:paraId="3FE08D24"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(2,070)</w:t>
            </w:r>
          </w:p>
        </w:tc>
      </w:tr>
      <w:tr w:rsidR="00DA54F3" w:rsidRPr="001B02FE" w14:paraId="61821675" w14:textId="77777777" w:rsidTr="00A535DB">
        <w:trPr>
          <w:trHeight w:val="290"/>
        </w:trPr>
        <w:tc>
          <w:tcPr>
            <w:tcW w:w="5812" w:type="dxa"/>
            <w:tcBorders>
              <w:top w:val="nil"/>
              <w:left w:val="nil"/>
              <w:bottom w:val="nil"/>
              <w:right w:val="nil"/>
            </w:tcBorders>
            <w:shd w:val="clear" w:color="auto" w:fill="auto"/>
            <w:noWrap/>
            <w:vAlign w:val="center"/>
          </w:tcPr>
          <w:p w14:paraId="47B72C31"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Changes in trade and other receivables</w:t>
            </w:r>
          </w:p>
        </w:tc>
        <w:tc>
          <w:tcPr>
            <w:tcW w:w="851" w:type="dxa"/>
            <w:tcBorders>
              <w:top w:val="nil"/>
              <w:left w:val="nil"/>
              <w:bottom w:val="nil"/>
              <w:right w:val="nil"/>
            </w:tcBorders>
            <w:vAlign w:val="center"/>
          </w:tcPr>
          <w:p w14:paraId="59272446"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559" w:type="dxa"/>
            <w:tcBorders>
              <w:top w:val="nil"/>
              <w:left w:val="nil"/>
              <w:bottom w:val="nil"/>
              <w:right w:val="nil"/>
            </w:tcBorders>
            <w:vAlign w:val="center"/>
          </w:tcPr>
          <w:p w14:paraId="4DA76E6A"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highlight w:val="yellow"/>
                <w:lang w:eastAsia="en-GB"/>
              </w:rPr>
            </w:pPr>
            <w:r w:rsidRPr="001B02FE">
              <w:rPr>
                <w:rFonts w:eastAsia="Times New Roman" w:cstheme="minorHAnsi"/>
                <w:b/>
                <w:sz w:val="20"/>
                <w:szCs w:val="20"/>
                <w:lang w:eastAsia="en-GB"/>
              </w:rPr>
              <w:t>(1,988)</w:t>
            </w:r>
          </w:p>
        </w:tc>
        <w:tc>
          <w:tcPr>
            <w:tcW w:w="1527" w:type="dxa"/>
            <w:tcBorders>
              <w:top w:val="nil"/>
              <w:left w:val="nil"/>
              <w:bottom w:val="nil"/>
              <w:right w:val="nil"/>
            </w:tcBorders>
            <w:shd w:val="clear" w:color="auto" w:fill="auto"/>
            <w:noWrap/>
            <w:vAlign w:val="center"/>
          </w:tcPr>
          <w:p w14:paraId="2B43C24F"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highlight w:val="yellow"/>
                <w:lang w:eastAsia="en-GB"/>
              </w:rPr>
            </w:pPr>
            <w:r w:rsidRPr="001B02FE">
              <w:rPr>
                <w:rFonts w:eastAsia="Times New Roman" w:cstheme="minorHAnsi"/>
                <w:bCs/>
                <w:sz w:val="20"/>
                <w:szCs w:val="20"/>
                <w:lang w:eastAsia="en-GB"/>
              </w:rPr>
              <w:t>(1,707)</w:t>
            </w:r>
          </w:p>
        </w:tc>
      </w:tr>
      <w:tr w:rsidR="00DA54F3" w:rsidRPr="001B02FE" w14:paraId="62D8A3D6" w14:textId="77777777" w:rsidTr="00A535DB">
        <w:trPr>
          <w:trHeight w:val="290"/>
        </w:trPr>
        <w:tc>
          <w:tcPr>
            <w:tcW w:w="5812" w:type="dxa"/>
            <w:tcBorders>
              <w:top w:val="nil"/>
              <w:left w:val="nil"/>
              <w:bottom w:val="single" w:sz="4" w:space="0" w:color="auto"/>
              <w:right w:val="nil"/>
            </w:tcBorders>
            <w:shd w:val="clear" w:color="auto" w:fill="auto"/>
            <w:noWrap/>
            <w:vAlign w:val="center"/>
          </w:tcPr>
          <w:p w14:paraId="56A46477"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Changes in trade and other payables</w:t>
            </w:r>
          </w:p>
        </w:tc>
        <w:tc>
          <w:tcPr>
            <w:tcW w:w="851" w:type="dxa"/>
            <w:tcBorders>
              <w:top w:val="nil"/>
              <w:left w:val="nil"/>
              <w:bottom w:val="single" w:sz="4" w:space="0" w:color="auto"/>
              <w:right w:val="nil"/>
            </w:tcBorders>
            <w:vAlign w:val="center"/>
          </w:tcPr>
          <w:p w14:paraId="7BAEFA86"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559" w:type="dxa"/>
            <w:tcBorders>
              <w:top w:val="nil"/>
              <w:left w:val="nil"/>
              <w:bottom w:val="single" w:sz="4" w:space="0" w:color="auto"/>
              <w:right w:val="nil"/>
            </w:tcBorders>
            <w:vAlign w:val="center"/>
          </w:tcPr>
          <w:p w14:paraId="02CDE9F5"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2,072</w:t>
            </w:r>
          </w:p>
        </w:tc>
        <w:tc>
          <w:tcPr>
            <w:tcW w:w="1527" w:type="dxa"/>
            <w:tcBorders>
              <w:top w:val="nil"/>
              <w:left w:val="nil"/>
              <w:bottom w:val="single" w:sz="4" w:space="0" w:color="auto"/>
              <w:right w:val="nil"/>
            </w:tcBorders>
            <w:shd w:val="clear" w:color="auto" w:fill="auto"/>
            <w:noWrap/>
            <w:vAlign w:val="center"/>
          </w:tcPr>
          <w:p w14:paraId="30951879"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503</w:t>
            </w:r>
          </w:p>
        </w:tc>
      </w:tr>
      <w:tr w:rsidR="00DA54F3" w:rsidRPr="001B02FE" w14:paraId="3A78D413" w14:textId="77777777" w:rsidTr="00A535DB">
        <w:trPr>
          <w:trHeight w:val="290"/>
        </w:trPr>
        <w:tc>
          <w:tcPr>
            <w:tcW w:w="5812" w:type="dxa"/>
            <w:tcBorders>
              <w:top w:val="single" w:sz="4" w:space="0" w:color="auto"/>
              <w:left w:val="nil"/>
              <w:bottom w:val="single" w:sz="4" w:space="0" w:color="auto"/>
              <w:right w:val="nil"/>
            </w:tcBorders>
            <w:shd w:val="clear" w:color="auto" w:fill="auto"/>
            <w:noWrap/>
            <w:vAlign w:val="center"/>
          </w:tcPr>
          <w:p w14:paraId="2C123D55" w14:textId="77777777" w:rsidR="00DA54F3" w:rsidRPr="001B02FE" w:rsidRDefault="00DA54F3" w:rsidP="00A535DB">
            <w:pPr>
              <w:spacing w:after="0" w:line="240" w:lineRule="auto"/>
              <w:rPr>
                <w:rFonts w:eastAsia="Times New Roman" w:cstheme="minorHAnsi"/>
                <w:b/>
                <w:sz w:val="20"/>
                <w:szCs w:val="20"/>
                <w:lang w:eastAsia="en-GB"/>
              </w:rPr>
            </w:pPr>
            <w:r w:rsidRPr="001B02FE">
              <w:rPr>
                <w:rFonts w:eastAsia="Times New Roman" w:cstheme="minorHAnsi"/>
                <w:b/>
                <w:sz w:val="20"/>
                <w:szCs w:val="20"/>
                <w:lang w:eastAsia="en-GB"/>
              </w:rPr>
              <w:t>Total cash outflow from operations</w:t>
            </w:r>
          </w:p>
        </w:tc>
        <w:tc>
          <w:tcPr>
            <w:tcW w:w="851" w:type="dxa"/>
            <w:tcBorders>
              <w:top w:val="single" w:sz="4" w:space="0" w:color="auto"/>
              <w:left w:val="nil"/>
              <w:bottom w:val="single" w:sz="4" w:space="0" w:color="auto"/>
              <w:right w:val="nil"/>
            </w:tcBorders>
            <w:vAlign w:val="center"/>
          </w:tcPr>
          <w:p w14:paraId="52C7B1A1"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single" w:sz="4" w:space="0" w:color="auto"/>
              <w:left w:val="nil"/>
              <w:bottom w:val="single" w:sz="4" w:space="0" w:color="auto"/>
              <w:right w:val="nil"/>
            </w:tcBorders>
            <w:vAlign w:val="center"/>
          </w:tcPr>
          <w:p w14:paraId="51F65FD4"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(80)</w:t>
            </w:r>
          </w:p>
        </w:tc>
        <w:tc>
          <w:tcPr>
            <w:tcW w:w="1527" w:type="dxa"/>
            <w:tcBorders>
              <w:top w:val="single" w:sz="4" w:space="0" w:color="auto"/>
              <w:left w:val="nil"/>
              <w:bottom w:val="single" w:sz="4" w:space="0" w:color="auto"/>
              <w:right w:val="nil"/>
            </w:tcBorders>
            <w:shd w:val="clear" w:color="auto" w:fill="auto"/>
            <w:noWrap/>
            <w:vAlign w:val="center"/>
          </w:tcPr>
          <w:p w14:paraId="73C728E5"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(6,416)</w:t>
            </w:r>
          </w:p>
        </w:tc>
      </w:tr>
      <w:tr w:rsidR="00DA54F3" w:rsidRPr="001B02FE" w14:paraId="122CD528" w14:textId="77777777" w:rsidTr="00A535DB">
        <w:trPr>
          <w:trHeight w:val="290"/>
        </w:trPr>
        <w:tc>
          <w:tcPr>
            <w:tcW w:w="5812" w:type="dxa"/>
            <w:tcBorders>
              <w:top w:val="single" w:sz="4" w:space="0" w:color="auto"/>
              <w:left w:val="nil"/>
              <w:right w:val="nil"/>
            </w:tcBorders>
            <w:shd w:val="clear" w:color="auto" w:fill="auto"/>
            <w:noWrap/>
            <w:vAlign w:val="center"/>
          </w:tcPr>
          <w:p w14:paraId="486CB28C" w14:textId="77777777" w:rsidR="00DA54F3" w:rsidRPr="001B02FE" w:rsidRDefault="00DA54F3" w:rsidP="00A535DB">
            <w:pPr>
              <w:spacing w:after="0" w:line="240" w:lineRule="auto"/>
              <w:rPr>
                <w:rFonts w:eastAsia="Times New Roman" w:cstheme="minorHAnsi"/>
                <w:sz w:val="20"/>
                <w:szCs w:val="20"/>
                <w:lang w:eastAsia="en-GB"/>
              </w:rPr>
            </w:pPr>
          </w:p>
        </w:tc>
        <w:tc>
          <w:tcPr>
            <w:tcW w:w="851" w:type="dxa"/>
            <w:tcBorders>
              <w:top w:val="single" w:sz="4" w:space="0" w:color="auto"/>
              <w:left w:val="nil"/>
              <w:right w:val="nil"/>
            </w:tcBorders>
            <w:vAlign w:val="center"/>
          </w:tcPr>
          <w:p w14:paraId="0D0A6FF1" w14:textId="77777777" w:rsidR="00DA54F3" w:rsidRPr="001B02FE" w:rsidRDefault="00DA54F3" w:rsidP="00A535DB">
            <w:pPr>
              <w:spacing w:after="0" w:line="240" w:lineRule="auto"/>
              <w:jc w:val="center"/>
              <w:rPr>
                <w:rFonts w:eastAsia="Times New Roman" w:cstheme="minorHAnsi"/>
                <w:sz w:val="20"/>
                <w:szCs w:val="20"/>
                <w:highlight w:val="yellow"/>
                <w:lang w:eastAsia="en-GB"/>
              </w:rPr>
            </w:pPr>
          </w:p>
        </w:tc>
        <w:tc>
          <w:tcPr>
            <w:tcW w:w="1559" w:type="dxa"/>
            <w:tcBorders>
              <w:top w:val="single" w:sz="4" w:space="0" w:color="auto"/>
              <w:left w:val="nil"/>
              <w:right w:val="nil"/>
            </w:tcBorders>
            <w:vAlign w:val="center"/>
          </w:tcPr>
          <w:p w14:paraId="6475242D" w14:textId="77777777" w:rsidR="00DA54F3" w:rsidRPr="001B02FE" w:rsidRDefault="00DA54F3" w:rsidP="00A535DB">
            <w:pPr>
              <w:spacing w:after="0" w:line="240" w:lineRule="auto"/>
              <w:jc w:val="right"/>
              <w:rPr>
                <w:rFonts w:eastAsia="Times New Roman" w:cstheme="minorHAnsi"/>
                <w:b/>
                <w:sz w:val="20"/>
                <w:szCs w:val="20"/>
                <w:highlight w:val="yellow"/>
                <w:lang w:eastAsia="en-GB"/>
              </w:rPr>
            </w:pPr>
          </w:p>
        </w:tc>
        <w:tc>
          <w:tcPr>
            <w:tcW w:w="1527" w:type="dxa"/>
            <w:tcBorders>
              <w:top w:val="single" w:sz="4" w:space="0" w:color="auto"/>
              <w:left w:val="nil"/>
              <w:right w:val="nil"/>
            </w:tcBorders>
            <w:shd w:val="clear" w:color="auto" w:fill="auto"/>
            <w:noWrap/>
            <w:vAlign w:val="center"/>
          </w:tcPr>
          <w:p w14:paraId="7CF9B1F4" w14:textId="77777777" w:rsidR="00DA54F3" w:rsidRPr="001B02FE" w:rsidRDefault="00DA54F3" w:rsidP="00A535DB">
            <w:pPr>
              <w:spacing w:after="0" w:line="240" w:lineRule="auto"/>
              <w:jc w:val="right"/>
              <w:rPr>
                <w:rFonts w:eastAsia="Times New Roman" w:cstheme="minorHAnsi"/>
                <w:bCs/>
                <w:sz w:val="20"/>
                <w:szCs w:val="20"/>
                <w:highlight w:val="yellow"/>
                <w:lang w:eastAsia="en-GB"/>
              </w:rPr>
            </w:pPr>
          </w:p>
        </w:tc>
      </w:tr>
      <w:tr w:rsidR="00DA54F3" w:rsidRPr="001B02FE" w14:paraId="7CED5C10" w14:textId="77777777" w:rsidTr="00A535DB">
        <w:trPr>
          <w:trHeight w:val="290"/>
        </w:trPr>
        <w:tc>
          <w:tcPr>
            <w:tcW w:w="5812" w:type="dxa"/>
            <w:tcBorders>
              <w:top w:val="nil"/>
              <w:left w:val="nil"/>
              <w:bottom w:val="nil"/>
              <w:right w:val="nil"/>
            </w:tcBorders>
            <w:shd w:val="clear" w:color="auto" w:fill="auto"/>
            <w:noWrap/>
            <w:vAlign w:val="center"/>
          </w:tcPr>
          <w:p w14:paraId="5CFA0837"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Cash flow from investing activities</w:t>
            </w:r>
          </w:p>
        </w:tc>
        <w:tc>
          <w:tcPr>
            <w:tcW w:w="851" w:type="dxa"/>
            <w:tcBorders>
              <w:top w:val="nil"/>
              <w:left w:val="nil"/>
              <w:bottom w:val="nil"/>
              <w:right w:val="nil"/>
            </w:tcBorders>
            <w:vAlign w:val="center"/>
          </w:tcPr>
          <w:p w14:paraId="7F1A1805" w14:textId="77777777" w:rsidR="00DA54F3" w:rsidRPr="001B02FE" w:rsidRDefault="00DA54F3" w:rsidP="00A535DB">
            <w:pPr>
              <w:spacing w:after="0" w:line="240" w:lineRule="auto"/>
              <w:ind w:right="-57"/>
              <w:jc w:val="center"/>
              <w:rPr>
                <w:rFonts w:eastAsia="Times New Roman" w:cstheme="minorHAnsi"/>
                <w:sz w:val="20"/>
                <w:szCs w:val="20"/>
                <w:highlight w:val="yellow"/>
                <w:lang w:eastAsia="en-GB"/>
              </w:rPr>
            </w:pPr>
          </w:p>
        </w:tc>
        <w:tc>
          <w:tcPr>
            <w:tcW w:w="1559" w:type="dxa"/>
            <w:tcBorders>
              <w:top w:val="nil"/>
              <w:left w:val="nil"/>
              <w:bottom w:val="nil"/>
              <w:right w:val="nil"/>
            </w:tcBorders>
            <w:vAlign w:val="center"/>
          </w:tcPr>
          <w:p w14:paraId="27186331" w14:textId="77777777" w:rsidR="00DA54F3" w:rsidRPr="001B02FE" w:rsidRDefault="00DA54F3" w:rsidP="00A535DB">
            <w:pPr>
              <w:spacing w:after="0" w:line="240" w:lineRule="auto"/>
              <w:ind w:right="-57"/>
              <w:jc w:val="right"/>
              <w:rPr>
                <w:rFonts w:eastAsia="Times New Roman" w:cstheme="minorHAnsi"/>
                <w:b/>
                <w:sz w:val="20"/>
                <w:szCs w:val="20"/>
                <w:highlight w:val="yellow"/>
                <w:lang w:eastAsia="en-GB"/>
              </w:rPr>
            </w:pPr>
          </w:p>
        </w:tc>
        <w:tc>
          <w:tcPr>
            <w:tcW w:w="1527" w:type="dxa"/>
            <w:tcBorders>
              <w:top w:val="nil"/>
              <w:left w:val="nil"/>
              <w:bottom w:val="nil"/>
              <w:right w:val="nil"/>
            </w:tcBorders>
            <w:shd w:val="clear" w:color="auto" w:fill="auto"/>
            <w:noWrap/>
            <w:vAlign w:val="center"/>
          </w:tcPr>
          <w:p w14:paraId="6DA20D83" w14:textId="77777777" w:rsidR="00DA54F3" w:rsidRPr="001B02FE" w:rsidRDefault="00DA54F3" w:rsidP="00A535DB">
            <w:pPr>
              <w:spacing w:after="0" w:line="240" w:lineRule="auto"/>
              <w:ind w:right="-57"/>
              <w:jc w:val="right"/>
              <w:rPr>
                <w:rFonts w:eastAsia="Times New Roman" w:cstheme="minorHAnsi"/>
                <w:bCs/>
                <w:sz w:val="20"/>
                <w:szCs w:val="20"/>
                <w:highlight w:val="yellow"/>
                <w:lang w:eastAsia="en-GB"/>
              </w:rPr>
            </w:pPr>
          </w:p>
        </w:tc>
      </w:tr>
      <w:tr w:rsidR="00DA54F3" w:rsidRPr="001B02FE" w14:paraId="66D6D88C" w14:textId="77777777" w:rsidTr="00A535DB">
        <w:trPr>
          <w:trHeight w:val="290"/>
        </w:trPr>
        <w:tc>
          <w:tcPr>
            <w:tcW w:w="5812" w:type="dxa"/>
            <w:tcBorders>
              <w:top w:val="nil"/>
              <w:left w:val="nil"/>
              <w:bottom w:val="nil"/>
              <w:right w:val="nil"/>
            </w:tcBorders>
            <w:shd w:val="clear" w:color="auto" w:fill="auto"/>
            <w:noWrap/>
            <w:vAlign w:val="center"/>
          </w:tcPr>
          <w:p w14:paraId="38F1CD38"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Purchase of property, plant and equipment</w:t>
            </w:r>
          </w:p>
        </w:tc>
        <w:tc>
          <w:tcPr>
            <w:tcW w:w="851" w:type="dxa"/>
            <w:tcBorders>
              <w:top w:val="nil"/>
              <w:left w:val="nil"/>
              <w:bottom w:val="nil"/>
              <w:right w:val="nil"/>
            </w:tcBorders>
            <w:vAlign w:val="center"/>
          </w:tcPr>
          <w:p w14:paraId="2F5ABD7A"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nil"/>
              <w:left w:val="nil"/>
              <w:bottom w:val="nil"/>
              <w:right w:val="nil"/>
            </w:tcBorders>
            <w:vAlign w:val="center"/>
          </w:tcPr>
          <w:p w14:paraId="4723CCE2"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(920)</w:t>
            </w:r>
          </w:p>
        </w:tc>
        <w:tc>
          <w:tcPr>
            <w:tcW w:w="1527" w:type="dxa"/>
            <w:tcBorders>
              <w:top w:val="nil"/>
              <w:left w:val="nil"/>
              <w:bottom w:val="nil"/>
              <w:right w:val="nil"/>
            </w:tcBorders>
            <w:shd w:val="clear" w:color="auto" w:fill="auto"/>
            <w:noWrap/>
            <w:vAlign w:val="center"/>
          </w:tcPr>
          <w:p w14:paraId="4377D298"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(519)</w:t>
            </w:r>
          </w:p>
        </w:tc>
      </w:tr>
      <w:tr w:rsidR="00DA54F3" w:rsidRPr="001B02FE" w14:paraId="1F7A0801" w14:textId="77777777" w:rsidTr="00A535DB">
        <w:trPr>
          <w:trHeight w:val="290"/>
        </w:trPr>
        <w:tc>
          <w:tcPr>
            <w:tcW w:w="5812" w:type="dxa"/>
            <w:tcBorders>
              <w:top w:val="nil"/>
              <w:left w:val="nil"/>
              <w:right w:val="nil"/>
            </w:tcBorders>
            <w:shd w:val="clear" w:color="auto" w:fill="auto"/>
            <w:noWrap/>
            <w:vAlign w:val="center"/>
          </w:tcPr>
          <w:p w14:paraId="5B3E7010"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Purchase of intangible assets</w:t>
            </w:r>
          </w:p>
        </w:tc>
        <w:tc>
          <w:tcPr>
            <w:tcW w:w="851" w:type="dxa"/>
            <w:tcBorders>
              <w:top w:val="nil"/>
              <w:left w:val="nil"/>
              <w:right w:val="nil"/>
            </w:tcBorders>
            <w:vAlign w:val="center"/>
          </w:tcPr>
          <w:p w14:paraId="055E03A9"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nil"/>
              <w:left w:val="nil"/>
              <w:right w:val="nil"/>
            </w:tcBorders>
            <w:vAlign w:val="center"/>
          </w:tcPr>
          <w:p w14:paraId="02BF28D0"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(1,453)</w:t>
            </w:r>
          </w:p>
        </w:tc>
        <w:tc>
          <w:tcPr>
            <w:tcW w:w="1527" w:type="dxa"/>
            <w:tcBorders>
              <w:top w:val="nil"/>
              <w:left w:val="nil"/>
              <w:right w:val="nil"/>
            </w:tcBorders>
            <w:shd w:val="clear" w:color="auto" w:fill="auto"/>
            <w:noWrap/>
            <w:vAlign w:val="center"/>
          </w:tcPr>
          <w:p w14:paraId="7A8D72CC"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(945)</w:t>
            </w:r>
          </w:p>
        </w:tc>
      </w:tr>
      <w:tr w:rsidR="00DA54F3" w:rsidRPr="001B02FE" w14:paraId="762856C0" w14:textId="77777777" w:rsidTr="00A535DB">
        <w:trPr>
          <w:trHeight w:val="290"/>
        </w:trPr>
        <w:tc>
          <w:tcPr>
            <w:tcW w:w="5812" w:type="dxa"/>
            <w:tcBorders>
              <w:top w:val="nil"/>
              <w:left w:val="nil"/>
              <w:right w:val="nil"/>
            </w:tcBorders>
            <w:shd w:val="clear" w:color="auto" w:fill="auto"/>
            <w:noWrap/>
            <w:vAlign w:val="center"/>
          </w:tcPr>
          <w:p w14:paraId="2791DD90"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Acquisition of subsidiary, net of cash acquired</w:t>
            </w:r>
          </w:p>
        </w:tc>
        <w:tc>
          <w:tcPr>
            <w:tcW w:w="851" w:type="dxa"/>
            <w:tcBorders>
              <w:top w:val="nil"/>
              <w:left w:val="nil"/>
              <w:right w:val="nil"/>
            </w:tcBorders>
            <w:vAlign w:val="center"/>
          </w:tcPr>
          <w:p w14:paraId="21EDB6EE"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nil"/>
              <w:left w:val="nil"/>
              <w:right w:val="nil"/>
            </w:tcBorders>
            <w:vAlign w:val="center"/>
          </w:tcPr>
          <w:p w14:paraId="378F853B"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w:t>
            </w:r>
          </w:p>
        </w:tc>
        <w:tc>
          <w:tcPr>
            <w:tcW w:w="1527" w:type="dxa"/>
            <w:tcBorders>
              <w:top w:val="nil"/>
              <w:left w:val="nil"/>
              <w:right w:val="nil"/>
            </w:tcBorders>
            <w:shd w:val="clear" w:color="auto" w:fill="auto"/>
            <w:noWrap/>
            <w:vAlign w:val="center"/>
          </w:tcPr>
          <w:p w14:paraId="17F6E7D3"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(28,363)</w:t>
            </w:r>
          </w:p>
        </w:tc>
      </w:tr>
      <w:tr w:rsidR="00DA54F3" w:rsidRPr="001B02FE" w14:paraId="738C2AA1" w14:textId="77777777" w:rsidTr="00A535DB">
        <w:trPr>
          <w:trHeight w:val="290"/>
        </w:trPr>
        <w:tc>
          <w:tcPr>
            <w:tcW w:w="5812" w:type="dxa"/>
            <w:tcBorders>
              <w:top w:val="single" w:sz="4" w:space="0" w:color="auto"/>
              <w:left w:val="nil"/>
              <w:bottom w:val="single" w:sz="4" w:space="0" w:color="auto"/>
              <w:right w:val="nil"/>
            </w:tcBorders>
            <w:shd w:val="clear" w:color="auto" w:fill="auto"/>
            <w:noWrap/>
            <w:vAlign w:val="center"/>
          </w:tcPr>
          <w:p w14:paraId="0495006F"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Net cash outflow from investing activities</w:t>
            </w:r>
          </w:p>
        </w:tc>
        <w:tc>
          <w:tcPr>
            <w:tcW w:w="851" w:type="dxa"/>
            <w:tcBorders>
              <w:top w:val="single" w:sz="4" w:space="0" w:color="auto"/>
              <w:left w:val="nil"/>
              <w:bottom w:val="single" w:sz="4" w:space="0" w:color="auto"/>
              <w:right w:val="nil"/>
            </w:tcBorders>
            <w:vAlign w:val="center"/>
          </w:tcPr>
          <w:p w14:paraId="633E5F64"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single" w:sz="4" w:space="0" w:color="auto"/>
              <w:left w:val="nil"/>
              <w:bottom w:val="single" w:sz="4" w:space="0" w:color="auto"/>
              <w:right w:val="nil"/>
            </w:tcBorders>
            <w:vAlign w:val="center"/>
          </w:tcPr>
          <w:p w14:paraId="6ADE5A97"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(2,373)</w:t>
            </w:r>
          </w:p>
        </w:tc>
        <w:tc>
          <w:tcPr>
            <w:tcW w:w="1527" w:type="dxa"/>
            <w:tcBorders>
              <w:top w:val="single" w:sz="4" w:space="0" w:color="auto"/>
              <w:left w:val="nil"/>
              <w:bottom w:val="single" w:sz="4" w:space="0" w:color="auto"/>
              <w:right w:val="nil"/>
            </w:tcBorders>
            <w:shd w:val="clear" w:color="auto" w:fill="auto"/>
            <w:noWrap/>
            <w:vAlign w:val="center"/>
          </w:tcPr>
          <w:p w14:paraId="6F4635D5"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(29,827)</w:t>
            </w:r>
          </w:p>
        </w:tc>
      </w:tr>
      <w:tr w:rsidR="00DA54F3" w:rsidRPr="001B02FE" w14:paraId="18AF0307" w14:textId="77777777" w:rsidTr="00A535DB">
        <w:trPr>
          <w:trHeight w:val="290"/>
        </w:trPr>
        <w:tc>
          <w:tcPr>
            <w:tcW w:w="5812" w:type="dxa"/>
            <w:tcBorders>
              <w:top w:val="single" w:sz="4" w:space="0" w:color="auto"/>
              <w:left w:val="nil"/>
              <w:bottom w:val="nil"/>
              <w:right w:val="nil"/>
            </w:tcBorders>
            <w:shd w:val="clear" w:color="auto" w:fill="auto"/>
            <w:noWrap/>
            <w:vAlign w:val="center"/>
          </w:tcPr>
          <w:p w14:paraId="634C653C" w14:textId="77777777" w:rsidR="00DA54F3" w:rsidRPr="001B02FE" w:rsidRDefault="00DA54F3" w:rsidP="00A535DB">
            <w:pPr>
              <w:spacing w:after="0" w:line="240" w:lineRule="auto"/>
              <w:rPr>
                <w:rFonts w:eastAsia="Times New Roman" w:cstheme="minorHAnsi"/>
                <w:sz w:val="20"/>
                <w:szCs w:val="20"/>
                <w:lang w:eastAsia="en-GB"/>
              </w:rPr>
            </w:pPr>
          </w:p>
        </w:tc>
        <w:tc>
          <w:tcPr>
            <w:tcW w:w="851" w:type="dxa"/>
            <w:tcBorders>
              <w:top w:val="single" w:sz="4" w:space="0" w:color="auto"/>
              <w:left w:val="nil"/>
              <w:bottom w:val="nil"/>
              <w:right w:val="nil"/>
            </w:tcBorders>
            <w:vAlign w:val="center"/>
          </w:tcPr>
          <w:p w14:paraId="04D4ADA8" w14:textId="77777777" w:rsidR="00DA54F3" w:rsidRPr="001B02FE" w:rsidRDefault="00DA54F3" w:rsidP="00A535DB">
            <w:pPr>
              <w:spacing w:after="0" w:line="240" w:lineRule="auto"/>
              <w:ind w:right="-57"/>
              <w:jc w:val="center"/>
              <w:rPr>
                <w:rFonts w:eastAsia="Times New Roman" w:cstheme="minorHAnsi"/>
                <w:sz w:val="20"/>
                <w:szCs w:val="20"/>
                <w:highlight w:val="yellow"/>
                <w:lang w:eastAsia="en-GB"/>
              </w:rPr>
            </w:pPr>
          </w:p>
        </w:tc>
        <w:tc>
          <w:tcPr>
            <w:tcW w:w="1559" w:type="dxa"/>
            <w:tcBorders>
              <w:top w:val="single" w:sz="4" w:space="0" w:color="auto"/>
              <w:left w:val="nil"/>
              <w:bottom w:val="nil"/>
              <w:right w:val="nil"/>
            </w:tcBorders>
            <w:vAlign w:val="center"/>
          </w:tcPr>
          <w:p w14:paraId="6E16A6FF" w14:textId="77777777" w:rsidR="00DA54F3" w:rsidRPr="001B02FE" w:rsidRDefault="00DA54F3" w:rsidP="00A535DB">
            <w:pPr>
              <w:spacing w:after="0" w:line="240" w:lineRule="auto"/>
              <w:ind w:right="-57"/>
              <w:jc w:val="right"/>
              <w:rPr>
                <w:rFonts w:eastAsia="Times New Roman" w:cstheme="minorHAnsi"/>
                <w:b/>
                <w:sz w:val="20"/>
                <w:szCs w:val="20"/>
                <w:highlight w:val="yellow"/>
                <w:lang w:eastAsia="en-GB"/>
              </w:rPr>
            </w:pPr>
          </w:p>
        </w:tc>
        <w:tc>
          <w:tcPr>
            <w:tcW w:w="1527" w:type="dxa"/>
            <w:tcBorders>
              <w:top w:val="single" w:sz="4" w:space="0" w:color="auto"/>
              <w:left w:val="nil"/>
              <w:bottom w:val="nil"/>
              <w:right w:val="nil"/>
            </w:tcBorders>
            <w:shd w:val="clear" w:color="auto" w:fill="auto"/>
            <w:noWrap/>
            <w:vAlign w:val="center"/>
          </w:tcPr>
          <w:p w14:paraId="761181D7" w14:textId="77777777" w:rsidR="00DA54F3" w:rsidRPr="001B02FE" w:rsidRDefault="00DA54F3" w:rsidP="00A535DB">
            <w:pPr>
              <w:spacing w:after="0" w:line="240" w:lineRule="auto"/>
              <w:ind w:right="-57"/>
              <w:jc w:val="right"/>
              <w:rPr>
                <w:rFonts w:eastAsia="Times New Roman" w:cstheme="minorHAnsi"/>
                <w:bCs/>
                <w:sz w:val="20"/>
                <w:szCs w:val="20"/>
                <w:highlight w:val="yellow"/>
                <w:lang w:eastAsia="en-GB"/>
              </w:rPr>
            </w:pPr>
          </w:p>
        </w:tc>
      </w:tr>
      <w:tr w:rsidR="00DA54F3" w:rsidRPr="001B02FE" w14:paraId="5AF3C556" w14:textId="77777777" w:rsidTr="00A535DB">
        <w:trPr>
          <w:trHeight w:val="290"/>
        </w:trPr>
        <w:tc>
          <w:tcPr>
            <w:tcW w:w="5812" w:type="dxa"/>
            <w:tcBorders>
              <w:top w:val="nil"/>
              <w:left w:val="nil"/>
              <w:bottom w:val="nil"/>
              <w:right w:val="nil"/>
            </w:tcBorders>
            <w:shd w:val="clear" w:color="auto" w:fill="auto"/>
            <w:noWrap/>
            <w:vAlign w:val="center"/>
          </w:tcPr>
          <w:p w14:paraId="0D13E901"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Cash flow from financing activities</w:t>
            </w:r>
          </w:p>
        </w:tc>
        <w:tc>
          <w:tcPr>
            <w:tcW w:w="851" w:type="dxa"/>
            <w:tcBorders>
              <w:top w:val="nil"/>
              <w:left w:val="nil"/>
              <w:bottom w:val="nil"/>
              <w:right w:val="nil"/>
            </w:tcBorders>
            <w:vAlign w:val="center"/>
          </w:tcPr>
          <w:p w14:paraId="4FDE8D73" w14:textId="77777777" w:rsidR="00DA54F3" w:rsidRPr="001B02FE" w:rsidRDefault="00DA54F3" w:rsidP="00A535DB">
            <w:pPr>
              <w:spacing w:after="0" w:line="240" w:lineRule="auto"/>
              <w:ind w:right="-57"/>
              <w:jc w:val="center"/>
              <w:rPr>
                <w:rFonts w:eastAsia="Times New Roman" w:cstheme="minorHAnsi"/>
                <w:sz w:val="20"/>
                <w:szCs w:val="20"/>
                <w:highlight w:val="yellow"/>
                <w:lang w:eastAsia="en-GB"/>
              </w:rPr>
            </w:pPr>
          </w:p>
        </w:tc>
        <w:tc>
          <w:tcPr>
            <w:tcW w:w="1559" w:type="dxa"/>
            <w:tcBorders>
              <w:top w:val="nil"/>
              <w:left w:val="nil"/>
              <w:bottom w:val="nil"/>
              <w:right w:val="nil"/>
            </w:tcBorders>
            <w:vAlign w:val="center"/>
          </w:tcPr>
          <w:p w14:paraId="27E55690" w14:textId="77777777" w:rsidR="00DA54F3" w:rsidRPr="001B02FE" w:rsidRDefault="00DA54F3" w:rsidP="00A535DB">
            <w:pPr>
              <w:spacing w:after="0" w:line="240" w:lineRule="auto"/>
              <w:ind w:right="-57"/>
              <w:jc w:val="right"/>
              <w:rPr>
                <w:rFonts w:eastAsia="Times New Roman" w:cstheme="minorHAnsi"/>
                <w:b/>
                <w:sz w:val="20"/>
                <w:szCs w:val="20"/>
                <w:highlight w:val="yellow"/>
                <w:lang w:eastAsia="en-GB"/>
              </w:rPr>
            </w:pPr>
          </w:p>
        </w:tc>
        <w:tc>
          <w:tcPr>
            <w:tcW w:w="1527" w:type="dxa"/>
            <w:tcBorders>
              <w:top w:val="nil"/>
              <w:left w:val="nil"/>
              <w:bottom w:val="nil"/>
              <w:right w:val="nil"/>
            </w:tcBorders>
            <w:shd w:val="clear" w:color="auto" w:fill="auto"/>
            <w:noWrap/>
            <w:vAlign w:val="center"/>
          </w:tcPr>
          <w:p w14:paraId="2436875D" w14:textId="77777777" w:rsidR="00DA54F3" w:rsidRPr="001B02FE" w:rsidRDefault="00DA54F3" w:rsidP="00A535DB">
            <w:pPr>
              <w:spacing w:after="0" w:line="240" w:lineRule="auto"/>
              <w:ind w:right="-57"/>
              <w:jc w:val="right"/>
              <w:rPr>
                <w:rFonts w:eastAsia="Times New Roman" w:cstheme="minorHAnsi"/>
                <w:bCs/>
                <w:sz w:val="20"/>
                <w:szCs w:val="20"/>
                <w:highlight w:val="yellow"/>
                <w:lang w:eastAsia="en-GB"/>
              </w:rPr>
            </w:pPr>
          </w:p>
        </w:tc>
      </w:tr>
      <w:tr w:rsidR="00DA54F3" w:rsidRPr="001B02FE" w14:paraId="147FFC38" w14:textId="77777777" w:rsidTr="00A535DB">
        <w:trPr>
          <w:trHeight w:val="290"/>
        </w:trPr>
        <w:tc>
          <w:tcPr>
            <w:tcW w:w="5812" w:type="dxa"/>
            <w:tcBorders>
              <w:top w:val="nil"/>
              <w:left w:val="nil"/>
              <w:bottom w:val="nil"/>
              <w:right w:val="nil"/>
            </w:tcBorders>
            <w:shd w:val="clear" w:color="auto" w:fill="auto"/>
            <w:noWrap/>
            <w:vAlign w:val="center"/>
          </w:tcPr>
          <w:p w14:paraId="54E66A2E"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Gross proceeds from issue of share capital</w:t>
            </w:r>
          </w:p>
        </w:tc>
        <w:tc>
          <w:tcPr>
            <w:tcW w:w="851" w:type="dxa"/>
            <w:tcBorders>
              <w:top w:val="nil"/>
              <w:left w:val="nil"/>
              <w:bottom w:val="nil"/>
              <w:right w:val="nil"/>
            </w:tcBorders>
            <w:vAlign w:val="center"/>
          </w:tcPr>
          <w:p w14:paraId="26843CCE"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559" w:type="dxa"/>
            <w:tcBorders>
              <w:top w:val="nil"/>
              <w:left w:val="nil"/>
              <w:bottom w:val="nil"/>
              <w:right w:val="nil"/>
            </w:tcBorders>
            <w:vAlign w:val="center"/>
          </w:tcPr>
          <w:p w14:paraId="3A1D795D"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w:t>
            </w:r>
          </w:p>
        </w:tc>
        <w:tc>
          <w:tcPr>
            <w:tcW w:w="1527" w:type="dxa"/>
            <w:tcBorders>
              <w:top w:val="nil"/>
              <w:left w:val="nil"/>
              <w:bottom w:val="nil"/>
              <w:right w:val="nil"/>
            </w:tcBorders>
            <w:shd w:val="clear" w:color="auto" w:fill="auto"/>
            <w:noWrap/>
            <w:vAlign w:val="center"/>
          </w:tcPr>
          <w:p w14:paraId="17C5A60D"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27,920</w:t>
            </w:r>
          </w:p>
        </w:tc>
      </w:tr>
      <w:tr w:rsidR="00DA54F3" w:rsidRPr="001B02FE" w14:paraId="7F8E7335" w14:textId="77777777" w:rsidTr="00A535DB">
        <w:trPr>
          <w:trHeight w:val="290"/>
        </w:trPr>
        <w:tc>
          <w:tcPr>
            <w:tcW w:w="5812" w:type="dxa"/>
            <w:tcBorders>
              <w:top w:val="nil"/>
              <w:left w:val="nil"/>
              <w:bottom w:val="nil"/>
              <w:right w:val="nil"/>
            </w:tcBorders>
            <w:shd w:val="clear" w:color="auto" w:fill="auto"/>
            <w:noWrap/>
            <w:vAlign w:val="center"/>
          </w:tcPr>
          <w:p w14:paraId="0CFBAC5D"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Principal repayments of lease liabilities</w:t>
            </w:r>
          </w:p>
        </w:tc>
        <w:tc>
          <w:tcPr>
            <w:tcW w:w="851" w:type="dxa"/>
            <w:tcBorders>
              <w:top w:val="nil"/>
              <w:left w:val="nil"/>
              <w:bottom w:val="nil"/>
              <w:right w:val="nil"/>
            </w:tcBorders>
            <w:vAlign w:val="center"/>
          </w:tcPr>
          <w:p w14:paraId="2E103238"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559" w:type="dxa"/>
            <w:tcBorders>
              <w:top w:val="nil"/>
              <w:left w:val="nil"/>
              <w:bottom w:val="nil"/>
              <w:right w:val="nil"/>
            </w:tcBorders>
            <w:vAlign w:val="center"/>
          </w:tcPr>
          <w:p w14:paraId="3E635E4B"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(150)</w:t>
            </w:r>
          </w:p>
        </w:tc>
        <w:tc>
          <w:tcPr>
            <w:tcW w:w="1527" w:type="dxa"/>
            <w:tcBorders>
              <w:top w:val="nil"/>
              <w:left w:val="nil"/>
              <w:bottom w:val="nil"/>
              <w:right w:val="nil"/>
            </w:tcBorders>
            <w:shd w:val="clear" w:color="auto" w:fill="auto"/>
            <w:noWrap/>
            <w:vAlign w:val="center"/>
          </w:tcPr>
          <w:p w14:paraId="052535D2"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
                <w:sz w:val="20"/>
                <w:szCs w:val="20"/>
                <w:lang w:eastAsia="en-GB"/>
              </w:rPr>
              <w:t>–</w:t>
            </w:r>
          </w:p>
        </w:tc>
      </w:tr>
      <w:tr w:rsidR="00DA54F3" w:rsidRPr="001B02FE" w14:paraId="0FA9106A" w14:textId="77777777" w:rsidTr="00A535DB">
        <w:trPr>
          <w:trHeight w:val="290"/>
        </w:trPr>
        <w:tc>
          <w:tcPr>
            <w:tcW w:w="5812" w:type="dxa"/>
            <w:tcBorders>
              <w:top w:val="nil"/>
              <w:left w:val="nil"/>
              <w:bottom w:val="nil"/>
              <w:right w:val="nil"/>
            </w:tcBorders>
            <w:shd w:val="clear" w:color="auto" w:fill="auto"/>
            <w:noWrap/>
            <w:vAlign w:val="center"/>
          </w:tcPr>
          <w:p w14:paraId="16E6A1C1"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Interest paid on lease liabilities</w:t>
            </w:r>
          </w:p>
        </w:tc>
        <w:tc>
          <w:tcPr>
            <w:tcW w:w="851" w:type="dxa"/>
            <w:tcBorders>
              <w:top w:val="nil"/>
              <w:left w:val="nil"/>
              <w:bottom w:val="nil"/>
              <w:right w:val="nil"/>
            </w:tcBorders>
            <w:vAlign w:val="center"/>
          </w:tcPr>
          <w:p w14:paraId="28D8395D"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559" w:type="dxa"/>
            <w:tcBorders>
              <w:top w:val="nil"/>
              <w:left w:val="nil"/>
              <w:bottom w:val="nil"/>
              <w:right w:val="nil"/>
            </w:tcBorders>
            <w:vAlign w:val="center"/>
          </w:tcPr>
          <w:p w14:paraId="0A1D6CDF"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(24)</w:t>
            </w:r>
          </w:p>
        </w:tc>
        <w:tc>
          <w:tcPr>
            <w:tcW w:w="1527" w:type="dxa"/>
            <w:tcBorders>
              <w:top w:val="nil"/>
              <w:left w:val="nil"/>
              <w:bottom w:val="nil"/>
              <w:right w:val="nil"/>
            </w:tcBorders>
            <w:shd w:val="clear" w:color="auto" w:fill="auto"/>
            <w:noWrap/>
            <w:vAlign w:val="center"/>
          </w:tcPr>
          <w:p w14:paraId="25E65073"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
                <w:sz w:val="20"/>
                <w:szCs w:val="20"/>
                <w:lang w:eastAsia="en-GB"/>
              </w:rPr>
              <w:t>–</w:t>
            </w:r>
          </w:p>
        </w:tc>
      </w:tr>
      <w:tr w:rsidR="00DA54F3" w:rsidRPr="001B02FE" w14:paraId="3AEBD9C2" w14:textId="77777777" w:rsidTr="00A535DB">
        <w:trPr>
          <w:trHeight w:val="290"/>
        </w:trPr>
        <w:tc>
          <w:tcPr>
            <w:tcW w:w="5812" w:type="dxa"/>
            <w:tcBorders>
              <w:top w:val="nil"/>
              <w:left w:val="nil"/>
              <w:right w:val="nil"/>
            </w:tcBorders>
            <w:shd w:val="clear" w:color="auto" w:fill="auto"/>
            <w:noWrap/>
            <w:vAlign w:val="center"/>
          </w:tcPr>
          <w:p w14:paraId="63E774AB"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Finance income</w:t>
            </w:r>
          </w:p>
        </w:tc>
        <w:tc>
          <w:tcPr>
            <w:tcW w:w="851" w:type="dxa"/>
            <w:tcBorders>
              <w:top w:val="nil"/>
              <w:left w:val="nil"/>
              <w:right w:val="nil"/>
            </w:tcBorders>
            <w:vAlign w:val="center"/>
          </w:tcPr>
          <w:p w14:paraId="4173ACDF"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nil"/>
              <w:left w:val="nil"/>
              <w:right w:val="nil"/>
            </w:tcBorders>
            <w:vAlign w:val="center"/>
          </w:tcPr>
          <w:p w14:paraId="0DBBBE4E"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(4)</w:t>
            </w:r>
          </w:p>
        </w:tc>
        <w:tc>
          <w:tcPr>
            <w:tcW w:w="1527" w:type="dxa"/>
            <w:tcBorders>
              <w:top w:val="nil"/>
              <w:left w:val="nil"/>
              <w:right w:val="nil"/>
            </w:tcBorders>
            <w:shd w:val="clear" w:color="auto" w:fill="auto"/>
            <w:noWrap/>
            <w:vAlign w:val="center"/>
          </w:tcPr>
          <w:p w14:paraId="76808143"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(5)</w:t>
            </w:r>
          </w:p>
        </w:tc>
      </w:tr>
      <w:tr w:rsidR="00DA54F3" w:rsidRPr="001B02FE" w14:paraId="50690524" w14:textId="77777777" w:rsidTr="00A535DB">
        <w:trPr>
          <w:trHeight w:val="290"/>
        </w:trPr>
        <w:tc>
          <w:tcPr>
            <w:tcW w:w="5812" w:type="dxa"/>
            <w:tcBorders>
              <w:top w:val="nil"/>
              <w:left w:val="nil"/>
              <w:right w:val="nil"/>
            </w:tcBorders>
            <w:shd w:val="clear" w:color="auto" w:fill="auto"/>
            <w:noWrap/>
            <w:vAlign w:val="center"/>
          </w:tcPr>
          <w:p w14:paraId="050DA90B" w14:textId="77777777" w:rsidR="00DA54F3" w:rsidRPr="001B02FE" w:rsidRDefault="00DA54F3" w:rsidP="00A535DB">
            <w:pPr>
              <w:spacing w:after="0" w:line="240" w:lineRule="auto"/>
              <w:rPr>
                <w:rFonts w:eastAsia="Times New Roman" w:cstheme="minorHAnsi"/>
                <w:sz w:val="20"/>
                <w:szCs w:val="20"/>
                <w:lang w:eastAsia="en-GB"/>
              </w:rPr>
            </w:pPr>
            <w:r w:rsidRPr="001B02FE">
              <w:rPr>
                <w:rFonts w:eastAsia="Times New Roman" w:cstheme="minorHAnsi"/>
                <w:sz w:val="20"/>
                <w:szCs w:val="20"/>
                <w:lang w:eastAsia="en-GB"/>
              </w:rPr>
              <w:t>Share issue costs</w:t>
            </w:r>
          </w:p>
        </w:tc>
        <w:tc>
          <w:tcPr>
            <w:tcW w:w="851" w:type="dxa"/>
            <w:tcBorders>
              <w:top w:val="nil"/>
              <w:left w:val="nil"/>
              <w:right w:val="nil"/>
            </w:tcBorders>
            <w:vAlign w:val="center"/>
          </w:tcPr>
          <w:p w14:paraId="781ABBFF" w14:textId="77777777" w:rsidR="00DA54F3" w:rsidRPr="001B02FE" w:rsidRDefault="00DA54F3" w:rsidP="00A535DB">
            <w:pPr>
              <w:spacing w:after="0" w:line="240" w:lineRule="auto"/>
              <w:ind w:right="-57"/>
              <w:jc w:val="center"/>
              <w:rPr>
                <w:rFonts w:eastAsia="Times New Roman" w:cstheme="minorHAnsi"/>
                <w:sz w:val="20"/>
                <w:szCs w:val="20"/>
                <w:lang w:eastAsia="en-GB"/>
              </w:rPr>
            </w:pPr>
          </w:p>
        </w:tc>
        <w:tc>
          <w:tcPr>
            <w:tcW w:w="1559" w:type="dxa"/>
            <w:tcBorders>
              <w:top w:val="nil"/>
              <w:left w:val="nil"/>
              <w:right w:val="nil"/>
            </w:tcBorders>
            <w:vAlign w:val="center"/>
          </w:tcPr>
          <w:p w14:paraId="34AB1DE6"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w:t>
            </w:r>
          </w:p>
        </w:tc>
        <w:tc>
          <w:tcPr>
            <w:tcW w:w="1527" w:type="dxa"/>
            <w:tcBorders>
              <w:top w:val="nil"/>
              <w:left w:val="nil"/>
              <w:right w:val="nil"/>
            </w:tcBorders>
            <w:shd w:val="clear" w:color="auto" w:fill="auto"/>
            <w:noWrap/>
            <w:vAlign w:val="center"/>
          </w:tcPr>
          <w:p w14:paraId="23A6C890"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(240)</w:t>
            </w:r>
          </w:p>
        </w:tc>
      </w:tr>
      <w:tr w:rsidR="00DA54F3" w:rsidRPr="001B02FE" w14:paraId="3DBEC759" w14:textId="77777777" w:rsidTr="00A535DB">
        <w:trPr>
          <w:trHeight w:val="290"/>
        </w:trPr>
        <w:tc>
          <w:tcPr>
            <w:tcW w:w="5812" w:type="dxa"/>
            <w:tcBorders>
              <w:top w:val="single" w:sz="4" w:space="0" w:color="auto"/>
              <w:left w:val="nil"/>
              <w:bottom w:val="single" w:sz="4" w:space="0" w:color="auto"/>
              <w:right w:val="nil"/>
            </w:tcBorders>
            <w:shd w:val="clear" w:color="auto" w:fill="auto"/>
            <w:noWrap/>
            <w:vAlign w:val="center"/>
          </w:tcPr>
          <w:p w14:paraId="67F72532"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Net cash inflow from financing activities</w:t>
            </w:r>
          </w:p>
        </w:tc>
        <w:tc>
          <w:tcPr>
            <w:tcW w:w="851" w:type="dxa"/>
            <w:tcBorders>
              <w:top w:val="single" w:sz="4" w:space="0" w:color="auto"/>
              <w:left w:val="nil"/>
              <w:bottom w:val="single" w:sz="4" w:space="0" w:color="auto"/>
              <w:right w:val="nil"/>
            </w:tcBorders>
            <w:vAlign w:val="center"/>
          </w:tcPr>
          <w:p w14:paraId="0F5AD751" w14:textId="77777777" w:rsidR="00DA54F3" w:rsidRPr="001B02FE" w:rsidRDefault="00DA54F3" w:rsidP="00A535DB">
            <w:pPr>
              <w:spacing w:after="0" w:line="240" w:lineRule="auto"/>
              <w:jc w:val="center"/>
              <w:rPr>
                <w:rFonts w:eastAsia="Times New Roman" w:cstheme="minorHAnsi"/>
                <w:sz w:val="20"/>
                <w:szCs w:val="20"/>
                <w:highlight w:val="yellow"/>
                <w:lang w:eastAsia="en-GB"/>
              </w:rPr>
            </w:pPr>
          </w:p>
        </w:tc>
        <w:tc>
          <w:tcPr>
            <w:tcW w:w="1559" w:type="dxa"/>
            <w:tcBorders>
              <w:top w:val="single" w:sz="4" w:space="0" w:color="auto"/>
              <w:left w:val="nil"/>
              <w:bottom w:val="single" w:sz="4" w:space="0" w:color="auto"/>
              <w:right w:val="nil"/>
            </w:tcBorders>
            <w:vAlign w:val="center"/>
          </w:tcPr>
          <w:p w14:paraId="2B030456"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highlight w:val="yellow"/>
                <w:lang w:eastAsia="en-GB"/>
              </w:rPr>
            </w:pPr>
            <w:r w:rsidRPr="001B02FE">
              <w:rPr>
                <w:rFonts w:eastAsia="Times New Roman" w:cstheme="minorHAnsi"/>
                <w:b/>
                <w:sz w:val="20"/>
                <w:szCs w:val="20"/>
                <w:lang w:eastAsia="en-GB"/>
              </w:rPr>
              <w:t>(178)</w:t>
            </w:r>
          </w:p>
        </w:tc>
        <w:tc>
          <w:tcPr>
            <w:tcW w:w="1527" w:type="dxa"/>
            <w:tcBorders>
              <w:top w:val="single" w:sz="4" w:space="0" w:color="auto"/>
              <w:left w:val="nil"/>
              <w:bottom w:val="single" w:sz="4" w:space="0" w:color="auto"/>
              <w:right w:val="nil"/>
            </w:tcBorders>
            <w:shd w:val="clear" w:color="auto" w:fill="auto"/>
            <w:noWrap/>
            <w:vAlign w:val="center"/>
          </w:tcPr>
          <w:p w14:paraId="2DCA1CC7"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highlight w:val="yellow"/>
                <w:lang w:eastAsia="en-GB"/>
              </w:rPr>
            </w:pPr>
            <w:r w:rsidRPr="001B02FE">
              <w:rPr>
                <w:rFonts w:eastAsia="Times New Roman" w:cstheme="minorHAnsi"/>
                <w:bCs/>
                <w:sz w:val="20"/>
                <w:szCs w:val="20"/>
                <w:lang w:eastAsia="en-GB"/>
              </w:rPr>
              <w:t>27,675</w:t>
            </w:r>
          </w:p>
        </w:tc>
      </w:tr>
      <w:tr w:rsidR="00DA54F3" w:rsidRPr="001B02FE" w14:paraId="5D647983" w14:textId="77777777" w:rsidTr="00A535DB">
        <w:trPr>
          <w:trHeight w:val="290"/>
        </w:trPr>
        <w:tc>
          <w:tcPr>
            <w:tcW w:w="5812" w:type="dxa"/>
            <w:tcBorders>
              <w:top w:val="single" w:sz="4" w:space="0" w:color="auto"/>
              <w:left w:val="nil"/>
              <w:bottom w:val="nil"/>
              <w:right w:val="nil"/>
            </w:tcBorders>
            <w:shd w:val="clear" w:color="auto" w:fill="auto"/>
            <w:noWrap/>
            <w:vAlign w:val="center"/>
          </w:tcPr>
          <w:p w14:paraId="5AF27EFE" w14:textId="77777777" w:rsidR="00DA54F3" w:rsidRPr="001B02FE" w:rsidRDefault="00DA54F3" w:rsidP="00A535DB">
            <w:pPr>
              <w:spacing w:after="0" w:line="240" w:lineRule="auto"/>
              <w:rPr>
                <w:rFonts w:eastAsia="Times New Roman" w:cstheme="minorHAnsi"/>
                <w:b/>
                <w:bCs/>
                <w:sz w:val="20"/>
                <w:szCs w:val="20"/>
                <w:lang w:eastAsia="en-GB"/>
              </w:rPr>
            </w:pPr>
          </w:p>
        </w:tc>
        <w:tc>
          <w:tcPr>
            <w:tcW w:w="851" w:type="dxa"/>
            <w:tcBorders>
              <w:top w:val="single" w:sz="4" w:space="0" w:color="auto"/>
              <w:left w:val="nil"/>
              <w:bottom w:val="nil"/>
              <w:right w:val="nil"/>
            </w:tcBorders>
            <w:vAlign w:val="center"/>
          </w:tcPr>
          <w:p w14:paraId="23FEB210" w14:textId="77777777" w:rsidR="00DA54F3" w:rsidRPr="001B02FE" w:rsidRDefault="00DA54F3" w:rsidP="00A535DB">
            <w:pPr>
              <w:spacing w:after="0" w:line="240" w:lineRule="auto"/>
              <w:ind w:right="-57"/>
              <w:jc w:val="center"/>
              <w:rPr>
                <w:rFonts w:eastAsia="Times New Roman" w:cstheme="minorHAnsi"/>
                <w:sz w:val="20"/>
                <w:szCs w:val="20"/>
                <w:highlight w:val="yellow"/>
                <w:lang w:eastAsia="en-GB"/>
              </w:rPr>
            </w:pPr>
          </w:p>
        </w:tc>
        <w:tc>
          <w:tcPr>
            <w:tcW w:w="1559" w:type="dxa"/>
            <w:tcBorders>
              <w:top w:val="single" w:sz="4" w:space="0" w:color="auto"/>
              <w:left w:val="nil"/>
              <w:bottom w:val="nil"/>
              <w:right w:val="nil"/>
            </w:tcBorders>
            <w:vAlign w:val="center"/>
          </w:tcPr>
          <w:p w14:paraId="7D01D6D7" w14:textId="77777777" w:rsidR="00DA54F3" w:rsidRPr="001B02FE" w:rsidRDefault="00DA54F3" w:rsidP="00A535DB">
            <w:pPr>
              <w:spacing w:after="0" w:line="240" w:lineRule="auto"/>
              <w:ind w:right="-57"/>
              <w:jc w:val="right"/>
              <w:rPr>
                <w:rFonts w:eastAsia="Times New Roman" w:cstheme="minorHAnsi"/>
                <w:b/>
                <w:sz w:val="20"/>
                <w:szCs w:val="20"/>
                <w:highlight w:val="yellow"/>
                <w:lang w:eastAsia="en-GB"/>
              </w:rPr>
            </w:pPr>
          </w:p>
        </w:tc>
        <w:tc>
          <w:tcPr>
            <w:tcW w:w="1527" w:type="dxa"/>
            <w:tcBorders>
              <w:top w:val="single" w:sz="4" w:space="0" w:color="auto"/>
              <w:left w:val="nil"/>
              <w:bottom w:val="nil"/>
              <w:right w:val="nil"/>
            </w:tcBorders>
            <w:shd w:val="clear" w:color="auto" w:fill="auto"/>
            <w:noWrap/>
            <w:vAlign w:val="center"/>
          </w:tcPr>
          <w:p w14:paraId="4A9BFDCD" w14:textId="77777777" w:rsidR="00DA54F3" w:rsidRPr="001B02FE" w:rsidRDefault="00DA54F3" w:rsidP="00A535DB">
            <w:pPr>
              <w:spacing w:after="0" w:line="240" w:lineRule="auto"/>
              <w:ind w:right="-57"/>
              <w:jc w:val="right"/>
              <w:rPr>
                <w:rFonts w:eastAsia="Times New Roman" w:cstheme="minorHAnsi"/>
                <w:bCs/>
                <w:sz w:val="20"/>
                <w:szCs w:val="20"/>
                <w:highlight w:val="yellow"/>
                <w:lang w:eastAsia="en-GB"/>
              </w:rPr>
            </w:pPr>
          </w:p>
        </w:tc>
      </w:tr>
      <w:tr w:rsidR="00DA54F3" w:rsidRPr="001B02FE" w14:paraId="63010234" w14:textId="77777777" w:rsidTr="00A535DB">
        <w:trPr>
          <w:trHeight w:val="290"/>
        </w:trPr>
        <w:tc>
          <w:tcPr>
            <w:tcW w:w="5812" w:type="dxa"/>
            <w:tcBorders>
              <w:top w:val="nil"/>
              <w:left w:val="nil"/>
              <w:right w:val="nil"/>
            </w:tcBorders>
            <w:shd w:val="clear" w:color="auto" w:fill="auto"/>
            <w:noWrap/>
            <w:vAlign w:val="center"/>
          </w:tcPr>
          <w:p w14:paraId="729680D6"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Net decrease in cash and cash equivalents</w:t>
            </w:r>
          </w:p>
        </w:tc>
        <w:tc>
          <w:tcPr>
            <w:tcW w:w="851" w:type="dxa"/>
            <w:tcBorders>
              <w:top w:val="nil"/>
              <w:left w:val="nil"/>
              <w:right w:val="nil"/>
            </w:tcBorders>
            <w:vAlign w:val="center"/>
          </w:tcPr>
          <w:p w14:paraId="12D98150" w14:textId="77777777" w:rsidR="00DA54F3" w:rsidRPr="001B02FE" w:rsidRDefault="00DA54F3" w:rsidP="00A535DB">
            <w:pPr>
              <w:spacing w:after="0" w:line="240" w:lineRule="auto"/>
              <w:ind w:right="-57"/>
              <w:jc w:val="center"/>
              <w:rPr>
                <w:rFonts w:eastAsia="Times New Roman" w:cstheme="minorHAnsi"/>
                <w:sz w:val="20"/>
                <w:szCs w:val="20"/>
                <w:highlight w:val="yellow"/>
                <w:lang w:eastAsia="en-GB"/>
              </w:rPr>
            </w:pPr>
          </w:p>
        </w:tc>
        <w:tc>
          <w:tcPr>
            <w:tcW w:w="1559" w:type="dxa"/>
            <w:tcBorders>
              <w:top w:val="nil"/>
              <w:left w:val="nil"/>
              <w:right w:val="nil"/>
            </w:tcBorders>
            <w:vAlign w:val="center"/>
          </w:tcPr>
          <w:p w14:paraId="3D429F5F"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highlight w:val="yellow"/>
                <w:lang w:eastAsia="en-GB"/>
              </w:rPr>
            </w:pPr>
            <w:r w:rsidRPr="001B02FE">
              <w:rPr>
                <w:rFonts w:eastAsia="Times New Roman" w:cstheme="minorHAnsi"/>
                <w:b/>
                <w:sz w:val="20"/>
                <w:szCs w:val="20"/>
                <w:lang w:eastAsia="en-GB"/>
              </w:rPr>
              <w:t>(2,631)</w:t>
            </w:r>
          </w:p>
        </w:tc>
        <w:tc>
          <w:tcPr>
            <w:tcW w:w="1527" w:type="dxa"/>
            <w:tcBorders>
              <w:top w:val="nil"/>
              <w:left w:val="nil"/>
              <w:right w:val="nil"/>
            </w:tcBorders>
            <w:shd w:val="clear" w:color="auto" w:fill="auto"/>
            <w:noWrap/>
            <w:vAlign w:val="center"/>
          </w:tcPr>
          <w:p w14:paraId="3FE8DA07"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highlight w:val="yellow"/>
                <w:lang w:eastAsia="en-GB"/>
              </w:rPr>
            </w:pPr>
            <w:r w:rsidRPr="001B02FE">
              <w:rPr>
                <w:rFonts w:eastAsia="Times New Roman" w:cstheme="minorHAnsi"/>
                <w:bCs/>
                <w:sz w:val="20"/>
                <w:szCs w:val="20"/>
                <w:lang w:eastAsia="en-GB"/>
              </w:rPr>
              <w:t>(8,568)</w:t>
            </w:r>
          </w:p>
        </w:tc>
      </w:tr>
      <w:tr w:rsidR="00DA54F3" w:rsidRPr="001B02FE" w14:paraId="11A6236E" w14:textId="77777777" w:rsidTr="00A535DB">
        <w:trPr>
          <w:trHeight w:val="290"/>
        </w:trPr>
        <w:tc>
          <w:tcPr>
            <w:tcW w:w="5812" w:type="dxa"/>
            <w:tcBorders>
              <w:top w:val="nil"/>
              <w:left w:val="nil"/>
              <w:bottom w:val="single" w:sz="12" w:space="0" w:color="auto"/>
              <w:right w:val="nil"/>
            </w:tcBorders>
            <w:shd w:val="clear" w:color="auto" w:fill="auto"/>
            <w:noWrap/>
            <w:vAlign w:val="center"/>
          </w:tcPr>
          <w:p w14:paraId="38BE5F8E"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Opening cash and cash equivalents</w:t>
            </w:r>
          </w:p>
        </w:tc>
        <w:tc>
          <w:tcPr>
            <w:tcW w:w="851" w:type="dxa"/>
            <w:tcBorders>
              <w:top w:val="nil"/>
              <w:left w:val="nil"/>
              <w:bottom w:val="single" w:sz="12" w:space="0" w:color="auto"/>
              <w:right w:val="nil"/>
            </w:tcBorders>
            <w:vAlign w:val="center"/>
          </w:tcPr>
          <w:p w14:paraId="7A649C2E" w14:textId="77777777" w:rsidR="00DA54F3" w:rsidRPr="001B02FE" w:rsidRDefault="00DA54F3" w:rsidP="00A535DB">
            <w:pPr>
              <w:tabs>
                <w:tab w:val="left" w:pos="1246"/>
              </w:tabs>
              <w:spacing w:after="0" w:line="240" w:lineRule="auto"/>
              <w:jc w:val="center"/>
              <w:rPr>
                <w:rFonts w:eastAsia="Times New Roman" w:cstheme="minorHAnsi"/>
                <w:sz w:val="20"/>
                <w:szCs w:val="20"/>
                <w:lang w:eastAsia="en-GB"/>
              </w:rPr>
            </w:pPr>
          </w:p>
        </w:tc>
        <w:tc>
          <w:tcPr>
            <w:tcW w:w="1559" w:type="dxa"/>
            <w:tcBorders>
              <w:top w:val="nil"/>
              <w:left w:val="nil"/>
              <w:bottom w:val="single" w:sz="12" w:space="0" w:color="auto"/>
              <w:right w:val="nil"/>
            </w:tcBorders>
            <w:vAlign w:val="center"/>
          </w:tcPr>
          <w:p w14:paraId="00C88980"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highlight w:val="yellow"/>
                <w:lang w:eastAsia="en-GB"/>
              </w:rPr>
            </w:pPr>
            <w:r w:rsidRPr="001B02FE">
              <w:rPr>
                <w:rFonts w:eastAsia="Times New Roman" w:cstheme="minorHAnsi"/>
                <w:b/>
                <w:sz w:val="20"/>
                <w:szCs w:val="20"/>
                <w:lang w:eastAsia="en-GB"/>
              </w:rPr>
              <w:t>8,002</w:t>
            </w:r>
          </w:p>
        </w:tc>
        <w:tc>
          <w:tcPr>
            <w:tcW w:w="1527" w:type="dxa"/>
            <w:tcBorders>
              <w:top w:val="nil"/>
              <w:left w:val="nil"/>
              <w:bottom w:val="single" w:sz="12" w:space="0" w:color="auto"/>
              <w:right w:val="nil"/>
            </w:tcBorders>
            <w:shd w:val="clear" w:color="auto" w:fill="auto"/>
            <w:noWrap/>
            <w:vAlign w:val="center"/>
          </w:tcPr>
          <w:p w14:paraId="284F9F7C"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highlight w:val="yellow"/>
                <w:lang w:eastAsia="en-GB"/>
              </w:rPr>
            </w:pPr>
            <w:r w:rsidRPr="001B02FE">
              <w:rPr>
                <w:rFonts w:eastAsia="Times New Roman" w:cstheme="minorHAnsi"/>
                <w:bCs/>
                <w:sz w:val="20"/>
                <w:szCs w:val="20"/>
                <w:lang w:eastAsia="en-GB"/>
              </w:rPr>
              <w:t>16,570</w:t>
            </w:r>
          </w:p>
        </w:tc>
      </w:tr>
      <w:tr w:rsidR="00DA54F3" w:rsidRPr="001B02FE" w14:paraId="307EFA4B" w14:textId="77777777" w:rsidTr="00A535DB">
        <w:trPr>
          <w:trHeight w:val="290"/>
        </w:trPr>
        <w:tc>
          <w:tcPr>
            <w:tcW w:w="5812" w:type="dxa"/>
            <w:tcBorders>
              <w:top w:val="single" w:sz="12" w:space="0" w:color="auto"/>
              <w:left w:val="nil"/>
              <w:bottom w:val="single" w:sz="12" w:space="0" w:color="auto"/>
              <w:right w:val="nil"/>
            </w:tcBorders>
            <w:shd w:val="clear" w:color="auto" w:fill="auto"/>
            <w:noWrap/>
            <w:vAlign w:val="center"/>
          </w:tcPr>
          <w:p w14:paraId="2DA9E799" w14:textId="77777777" w:rsidR="00DA54F3" w:rsidRPr="001B02FE" w:rsidRDefault="00DA54F3" w:rsidP="00A535DB">
            <w:pPr>
              <w:spacing w:after="0" w:line="240" w:lineRule="auto"/>
              <w:rPr>
                <w:rFonts w:eastAsia="Times New Roman" w:cstheme="minorHAnsi"/>
                <w:b/>
                <w:bCs/>
                <w:sz w:val="20"/>
                <w:szCs w:val="20"/>
                <w:lang w:eastAsia="en-GB"/>
              </w:rPr>
            </w:pPr>
            <w:r w:rsidRPr="001B02FE">
              <w:rPr>
                <w:rFonts w:eastAsia="Times New Roman" w:cstheme="minorHAnsi"/>
                <w:b/>
                <w:bCs/>
                <w:sz w:val="20"/>
                <w:szCs w:val="20"/>
                <w:lang w:eastAsia="en-GB"/>
              </w:rPr>
              <w:t>Closing cash and cash equivalents</w:t>
            </w:r>
          </w:p>
        </w:tc>
        <w:tc>
          <w:tcPr>
            <w:tcW w:w="851" w:type="dxa"/>
            <w:tcBorders>
              <w:top w:val="single" w:sz="12" w:space="0" w:color="auto"/>
              <w:left w:val="nil"/>
              <w:bottom w:val="single" w:sz="12" w:space="0" w:color="auto"/>
              <w:right w:val="nil"/>
            </w:tcBorders>
            <w:vAlign w:val="center"/>
          </w:tcPr>
          <w:p w14:paraId="6A26B65A" w14:textId="0E368CC9" w:rsidR="00DA54F3" w:rsidRPr="001B02FE" w:rsidRDefault="00DA54F3" w:rsidP="00A535DB">
            <w:pPr>
              <w:spacing w:after="0" w:line="240" w:lineRule="auto"/>
              <w:jc w:val="center"/>
              <w:rPr>
                <w:rFonts w:eastAsia="Times New Roman" w:cstheme="minorHAnsi"/>
                <w:sz w:val="20"/>
                <w:szCs w:val="20"/>
                <w:lang w:eastAsia="en-GB"/>
              </w:rPr>
            </w:pPr>
          </w:p>
        </w:tc>
        <w:tc>
          <w:tcPr>
            <w:tcW w:w="1559" w:type="dxa"/>
            <w:tcBorders>
              <w:top w:val="single" w:sz="12" w:space="0" w:color="auto"/>
              <w:left w:val="nil"/>
              <w:bottom w:val="single" w:sz="12" w:space="0" w:color="auto"/>
              <w:right w:val="nil"/>
            </w:tcBorders>
            <w:shd w:val="clear" w:color="auto" w:fill="auto"/>
            <w:vAlign w:val="center"/>
          </w:tcPr>
          <w:p w14:paraId="6A2E941D" w14:textId="77777777" w:rsidR="00DA54F3" w:rsidRPr="001B02FE" w:rsidRDefault="00DA54F3" w:rsidP="00A535DB">
            <w:pPr>
              <w:tabs>
                <w:tab w:val="decimal" w:pos="1343"/>
              </w:tabs>
              <w:spacing w:after="0" w:line="240" w:lineRule="auto"/>
              <w:ind w:right="-108"/>
              <w:jc w:val="both"/>
              <w:rPr>
                <w:rFonts w:eastAsia="Times New Roman" w:cstheme="minorHAnsi"/>
                <w:b/>
                <w:sz w:val="20"/>
                <w:szCs w:val="20"/>
                <w:lang w:eastAsia="en-GB"/>
              </w:rPr>
            </w:pPr>
            <w:r w:rsidRPr="001B02FE">
              <w:rPr>
                <w:rFonts w:eastAsia="Times New Roman" w:cstheme="minorHAnsi"/>
                <w:b/>
                <w:sz w:val="20"/>
                <w:szCs w:val="20"/>
                <w:lang w:eastAsia="en-GB"/>
              </w:rPr>
              <w:t>5,371</w:t>
            </w:r>
          </w:p>
        </w:tc>
        <w:tc>
          <w:tcPr>
            <w:tcW w:w="1527" w:type="dxa"/>
            <w:tcBorders>
              <w:top w:val="single" w:sz="12" w:space="0" w:color="auto"/>
              <w:left w:val="nil"/>
              <w:bottom w:val="single" w:sz="12" w:space="0" w:color="auto"/>
              <w:right w:val="nil"/>
            </w:tcBorders>
            <w:shd w:val="clear" w:color="auto" w:fill="auto"/>
            <w:noWrap/>
            <w:vAlign w:val="center"/>
          </w:tcPr>
          <w:p w14:paraId="17F516F9" w14:textId="77777777" w:rsidR="00DA54F3" w:rsidRPr="001B02FE" w:rsidRDefault="00DA54F3" w:rsidP="00A535DB">
            <w:pPr>
              <w:tabs>
                <w:tab w:val="decimal" w:pos="1343"/>
              </w:tabs>
              <w:spacing w:after="0" w:line="240" w:lineRule="auto"/>
              <w:ind w:right="-108"/>
              <w:jc w:val="both"/>
              <w:rPr>
                <w:rFonts w:eastAsia="Times New Roman" w:cstheme="minorHAnsi"/>
                <w:bCs/>
                <w:sz w:val="20"/>
                <w:szCs w:val="20"/>
                <w:lang w:eastAsia="en-GB"/>
              </w:rPr>
            </w:pPr>
            <w:r w:rsidRPr="001B02FE">
              <w:rPr>
                <w:rFonts w:eastAsia="Times New Roman" w:cstheme="minorHAnsi"/>
                <w:bCs/>
                <w:sz w:val="20"/>
                <w:szCs w:val="20"/>
                <w:lang w:eastAsia="en-GB"/>
              </w:rPr>
              <w:t>8,002</w:t>
            </w:r>
          </w:p>
        </w:tc>
      </w:tr>
    </w:tbl>
    <w:p w14:paraId="1254CCB1" w14:textId="77777777" w:rsidR="00DA54F3" w:rsidRPr="001B02FE" w:rsidRDefault="00DA54F3" w:rsidP="00DA54F3">
      <w:pPr>
        <w:pStyle w:val="bulls"/>
        <w:ind w:left="284" w:firstLine="0"/>
        <w:rPr>
          <w:rFonts w:asciiTheme="minorHAnsi" w:hAnsiTheme="minorHAnsi" w:cstheme="minorHAnsi"/>
        </w:rPr>
      </w:pPr>
    </w:p>
    <w:p w14:paraId="5A3D53AD" w14:textId="77777777" w:rsidR="00DA54F3" w:rsidRPr="001B02FE" w:rsidRDefault="00DA54F3" w:rsidP="00DA54F3">
      <w:pPr>
        <w:pStyle w:val="bulls"/>
        <w:ind w:left="284" w:firstLine="0"/>
        <w:rPr>
          <w:rFonts w:asciiTheme="minorHAnsi" w:hAnsiTheme="minorHAnsi" w:cstheme="minorHAnsi"/>
          <w:b/>
        </w:rPr>
      </w:pPr>
    </w:p>
    <w:p w14:paraId="7DC00895" w14:textId="77777777" w:rsidR="00DA54F3" w:rsidRPr="001B02FE" w:rsidRDefault="00DA54F3" w:rsidP="00DA54F3">
      <w:pPr>
        <w:pStyle w:val="bulls"/>
        <w:ind w:left="284" w:firstLine="0"/>
        <w:rPr>
          <w:rFonts w:asciiTheme="minorHAnsi" w:hAnsiTheme="minorHAnsi" w:cstheme="minorHAnsi"/>
        </w:rPr>
      </w:pPr>
    </w:p>
    <w:p w14:paraId="4B163C2E" w14:textId="77777777" w:rsidR="00DA54F3" w:rsidRPr="001B02FE" w:rsidRDefault="00DA54F3" w:rsidP="00DA54F3">
      <w:pPr>
        <w:pStyle w:val="bulls"/>
        <w:ind w:left="284" w:firstLine="0"/>
        <w:rPr>
          <w:rFonts w:asciiTheme="minorHAnsi" w:hAnsiTheme="minorHAnsi" w:cstheme="minorHAnsi"/>
        </w:rPr>
      </w:pPr>
    </w:p>
    <w:p w14:paraId="2F0F9AE3" w14:textId="77777777" w:rsidR="00DA54F3" w:rsidRPr="001B02FE" w:rsidRDefault="00DA54F3" w:rsidP="00DA54F3">
      <w:pPr>
        <w:pStyle w:val="bulls"/>
        <w:ind w:left="284" w:firstLine="0"/>
        <w:rPr>
          <w:rFonts w:asciiTheme="minorHAnsi" w:hAnsiTheme="minorHAnsi" w:cstheme="minorHAnsi"/>
        </w:rPr>
      </w:pPr>
    </w:p>
    <w:p w14:paraId="04B5B8B5" w14:textId="77777777" w:rsidR="00DA54F3" w:rsidRPr="001B02FE" w:rsidRDefault="00DA54F3" w:rsidP="00DA54F3">
      <w:pPr>
        <w:pStyle w:val="bulls"/>
        <w:ind w:left="284" w:firstLine="0"/>
        <w:rPr>
          <w:rFonts w:asciiTheme="minorHAnsi" w:hAnsiTheme="minorHAnsi" w:cstheme="minorHAnsi"/>
        </w:rPr>
      </w:pPr>
    </w:p>
    <w:p w14:paraId="6C03A52E" w14:textId="77777777" w:rsidR="001B02FE" w:rsidRDefault="001B02FE" w:rsidP="00DA54F3">
      <w:pPr>
        <w:spacing w:after="0" w:line="240" w:lineRule="auto"/>
        <w:rPr>
          <w:rFonts w:cstheme="minorHAnsi"/>
          <w:sz w:val="20"/>
          <w:szCs w:val="20"/>
        </w:rPr>
        <w:sectPr w:rsidR="001B02FE">
          <w:headerReference w:type="default" r:id="rId12"/>
          <w:pgSz w:w="11906" w:h="16838"/>
          <w:pgMar w:top="1440" w:right="1440" w:bottom="1440" w:left="1440" w:header="708" w:footer="708" w:gutter="0"/>
          <w:cols w:space="708"/>
          <w:docGrid w:linePitch="360"/>
        </w:sectPr>
      </w:pPr>
    </w:p>
    <w:p w14:paraId="0250210F" w14:textId="4C1D0BD1" w:rsidR="001B02FE" w:rsidRPr="001B02FE" w:rsidRDefault="001B02FE" w:rsidP="001B02FE">
      <w:pPr>
        <w:pStyle w:val="Header"/>
        <w:rPr>
          <w:rFonts w:cstheme="minorHAnsi"/>
          <w:b/>
          <w:sz w:val="24"/>
          <w:szCs w:val="20"/>
        </w:rPr>
      </w:pPr>
      <w:r w:rsidRPr="001B02FE">
        <w:rPr>
          <w:rFonts w:cstheme="minorHAnsi"/>
          <w:b/>
          <w:sz w:val="24"/>
          <w:szCs w:val="20"/>
        </w:rPr>
        <w:t xml:space="preserve">Consolidated statement of </w:t>
      </w:r>
      <w:r>
        <w:rPr>
          <w:rFonts w:cstheme="minorHAnsi"/>
          <w:b/>
          <w:sz w:val="24"/>
          <w:szCs w:val="20"/>
        </w:rPr>
        <w:t>changes in equity</w:t>
      </w:r>
    </w:p>
    <w:p w14:paraId="26683845" w14:textId="537DA644" w:rsidR="001B02FE" w:rsidRDefault="001B02FE" w:rsidP="00DA54F3">
      <w:pPr>
        <w:spacing w:after="0" w:line="240" w:lineRule="auto"/>
        <w:rPr>
          <w:rFonts w:cstheme="minorHAnsi"/>
          <w:sz w:val="20"/>
          <w:szCs w:val="20"/>
        </w:rPr>
      </w:pPr>
    </w:p>
    <w:tbl>
      <w:tblPr>
        <w:tblW w:w="9639" w:type="dxa"/>
        <w:tblLayout w:type="fixed"/>
        <w:tblLook w:val="04A0" w:firstRow="1" w:lastRow="0" w:firstColumn="1" w:lastColumn="0" w:noHBand="0" w:noVBand="1"/>
      </w:tblPr>
      <w:tblGrid>
        <w:gridCol w:w="1843"/>
        <w:gridCol w:w="851"/>
        <w:gridCol w:w="992"/>
        <w:gridCol w:w="142"/>
        <w:gridCol w:w="789"/>
        <w:gridCol w:w="147"/>
        <w:gridCol w:w="711"/>
        <w:gridCol w:w="195"/>
        <w:gridCol w:w="852"/>
        <w:gridCol w:w="282"/>
        <w:gridCol w:w="993"/>
        <w:gridCol w:w="850"/>
        <w:gridCol w:w="142"/>
        <w:gridCol w:w="850"/>
      </w:tblGrid>
      <w:tr w:rsidR="00DA54F3" w:rsidRPr="001B02FE" w14:paraId="78982602" w14:textId="77777777" w:rsidTr="00A535DB">
        <w:trPr>
          <w:trHeight w:val="850"/>
        </w:trPr>
        <w:tc>
          <w:tcPr>
            <w:tcW w:w="1843" w:type="dxa"/>
            <w:tcBorders>
              <w:top w:val="nil"/>
              <w:left w:val="nil"/>
              <w:bottom w:val="nil"/>
              <w:right w:val="nil"/>
            </w:tcBorders>
            <w:shd w:val="clear" w:color="auto" w:fill="auto"/>
            <w:vAlign w:val="center"/>
            <w:hideMark/>
          </w:tcPr>
          <w:p w14:paraId="5473A7B2" w14:textId="77777777" w:rsidR="00DA54F3" w:rsidRPr="001B02FE" w:rsidRDefault="00DA54F3" w:rsidP="00A535DB">
            <w:pPr>
              <w:spacing w:after="0" w:line="240" w:lineRule="auto"/>
              <w:rPr>
                <w:rFonts w:eastAsia="Times New Roman" w:cstheme="minorHAnsi"/>
                <w:sz w:val="20"/>
                <w:szCs w:val="20"/>
                <w:lang w:eastAsia="en-GB"/>
              </w:rPr>
            </w:pPr>
          </w:p>
        </w:tc>
        <w:tc>
          <w:tcPr>
            <w:tcW w:w="851" w:type="dxa"/>
            <w:tcBorders>
              <w:top w:val="nil"/>
              <w:left w:val="nil"/>
              <w:bottom w:val="nil"/>
              <w:right w:val="nil"/>
            </w:tcBorders>
            <w:shd w:val="clear" w:color="auto" w:fill="auto"/>
            <w:vAlign w:val="center"/>
            <w:hideMark/>
          </w:tcPr>
          <w:p w14:paraId="73F52AE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Share capital</w:t>
            </w:r>
          </w:p>
        </w:tc>
        <w:tc>
          <w:tcPr>
            <w:tcW w:w="992" w:type="dxa"/>
            <w:tcBorders>
              <w:top w:val="nil"/>
              <w:left w:val="nil"/>
              <w:bottom w:val="nil"/>
              <w:right w:val="nil"/>
            </w:tcBorders>
            <w:shd w:val="clear" w:color="auto" w:fill="auto"/>
            <w:vAlign w:val="center"/>
            <w:hideMark/>
          </w:tcPr>
          <w:p w14:paraId="1F7C0CC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Share premium</w:t>
            </w:r>
          </w:p>
        </w:tc>
        <w:tc>
          <w:tcPr>
            <w:tcW w:w="1078" w:type="dxa"/>
            <w:gridSpan w:val="3"/>
            <w:tcBorders>
              <w:top w:val="nil"/>
              <w:left w:val="nil"/>
              <w:bottom w:val="nil"/>
              <w:right w:val="nil"/>
            </w:tcBorders>
            <w:shd w:val="clear" w:color="auto" w:fill="auto"/>
            <w:vAlign w:val="center"/>
            <w:hideMark/>
          </w:tcPr>
          <w:p w14:paraId="750309ED"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Employee Benefit Trust reserve</w:t>
            </w:r>
          </w:p>
        </w:tc>
        <w:tc>
          <w:tcPr>
            <w:tcW w:w="906" w:type="dxa"/>
            <w:gridSpan w:val="2"/>
            <w:tcBorders>
              <w:top w:val="nil"/>
              <w:left w:val="nil"/>
              <w:bottom w:val="nil"/>
              <w:right w:val="nil"/>
            </w:tcBorders>
            <w:shd w:val="clear" w:color="auto" w:fill="auto"/>
            <w:vAlign w:val="center"/>
            <w:hideMark/>
          </w:tcPr>
          <w:p w14:paraId="10A0CEEC"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Other reserve</w:t>
            </w:r>
          </w:p>
        </w:tc>
        <w:tc>
          <w:tcPr>
            <w:tcW w:w="1134" w:type="dxa"/>
            <w:gridSpan w:val="2"/>
            <w:tcBorders>
              <w:top w:val="nil"/>
              <w:left w:val="nil"/>
              <w:bottom w:val="nil"/>
              <w:right w:val="nil"/>
            </w:tcBorders>
            <w:shd w:val="clear" w:color="auto" w:fill="auto"/>
            <w:vAlign w:val="center"/>
            <w:hideMark/>
          </w:tcPr>
          <w:p w14:paraId="042EF719"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Foreign exchange reserve</w:t>
            </w:r>
          </w:p>
        </w:tc>
        <w:tc>
          <w:tcPr>
            <w:tcW w:w="993" w:type="dxa"/>
            <w:tcBorders>
              <w:top w:val="nil"/>
              <w:left w:val="nil"/>
              <w:bottom w:val="nil"/>
              <w:right w:val="nil"/>
            </w:tcBorders>
            <w:shd w:val="clear" w:color="auto" w:fill="auto"/>
            <w:vAlign w:val="center"/>
            <w:hideMark/>
          </w:tcPr>
          <w:p w14:paraId="18CA38E0"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Cash flow  hedge reserve</w:t>
            </w:r>
          </w:p>
        </w:tc>
        <w:tc>
          <w:tcPr>
            <w:tcW w:w="992" w:type="dxa"/>
            <w:gridSpan w:val="2"/>
            <w:tcBorders>
              <w:top w:val="nil"/>
              <w:left w:val="nil"/>
              <w:bottom w:val="nil"/>
              <w:right w:val="nil"/>
            </w:tcBorders>
            <w:shd w:val="clear" w:color="auto" w:fill="auto"/>
            <w:vAlign w:val="center"/>
            <w:hideMark/>
          </w:tcPr>
          <w:p w14:paraId="20F4A51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Retained deficit</w:t>
            </w:r>
          </w:p>
        </w:tc>
        <w:tc>
          <w:tcPr>
            <w:tcW w:w="850" w:type="dxa"/>
            <w:tcBorders>
              <w:top w:val="nil"/>
              <w:left w:val="nil"/>
              <w:bottom w:val="nil"/>
              <w:right w:val="nil"/>
            </w:tcBorders>
            <w:shd w:val="clear" w:color="auto" w:fill="auto"/>
            <w:vAlign w:val="center"/>
            <w:hideMark/>
          </w:tcPr>
          <w:p w14:paraId="646E5AA4"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Total equity</w:t>
            </w:r>
          </w:p>
        </w:tc>
      </w:tr>
      <w:tr w:rsidR="00DA54F3" w:rsidRPr="001B02FE" w14:paraId="564827F3" w14:textId="77777777" w:rsidTr="00A535DB">
        <w:trPr>
          <w:trHeight w:val="265"/>
        </w:trPr>
        <w:tc>
          <w:tcPr>
            <w:tcW w:w="1843" w:type="dxa"/>
            <w:tcBorders>
              <w:top w:val="nil"/>
              <w:left w:val="nil"/>
              <w:bottom w:val="nil"/>
              <w:right w:val="nil"/>
            </w:tcBorders>
            <w:shd w:val="clear" w:color="auto" w:fill="auto"/>
            <w:vAlign w:val="center"/>
            <w:hideMark/>
          </w:tcPr>
          <w:p w14:paraId="7FF71229" w14:textId="77777777" w:rsidR="00DA54F3" w:rsidRPr="001B02FE" w:rsidRDefault="00DA54F3" w:rsidP="00A535DB">
            <w:pPr>
              <w:spacing w:after="0" w:line="240" w:lineRule="auto"/>
              <w:jc w:val="right"/>
              <w:rPr>
                <w:rFonts w:eastAsia="Times New Roman" w:cstheme="minorHAnsi"/>
                <w:b/>
                <w:bCs/>
                <w:color w:val="000000"/>
                <w:sz w:val="20"/>
                <w:szCs w:val="20"/>
                <w:lang w:eastAsia="en-GB"/>
              </w:rPr>
            </w:pPr>
          </w:p>
        </w:tc>
        <w:tc>
          <w:tcPr>
            <w:tcW w:w="851" w:type="dxa"/>
            <w:tcBorders>
              <w:top w:val="nil"/>
              <w:left w:val="nil"/>
              <w:bottom w:val="nil"/>
              <w:right w:val="nil"/>
            </w:tcBorders>
            <w:shd w:val="clear" w:color="auto" w:fill="auto"/>
            <w:vAlign w:val="center"/>
            <w:hideMark/>
          </w:tcPr>
          <w:p w14:paraId="44809D6A"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£’000</w:t>
            </w:r>
          </w:p>
        </w:tc>
        <w:tc>
          <w:tcPr>
            <w:tcW w:w="992" w:type="dxa"/>
            <w:tcBorders>
              <w:top w:val="nil"/>
              <w:left w:val="nil"/>
              <w:bottom w:val="nil"/>
              <w:right w:val="nil"/>
            </w:tcBorders>
            <w:shd w:val="clear" w:color="auto" w:fill="auto"/>
            <w:vAlign w:val="center"/>
            <w:hideMark/>
          </w:tcPr>
          <w:p w14:paraId="1523C25A"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£’000</w:t>
            </w:r>
          </w:p>
        </w:tc>
        <w:tc>
          <w:tcPr>
            <w:tcW w:w="1078" w:type="dxa"/>
            <w:gridSpan w:val="3"/>
            <w:tcBorders>
              <w:top w:val="nil"/>
              <w:left w:val="nil"/>
              <w:bottom w:val="nil"/>
              <w:right w:val="nil"/>
            </w:tcBorders>
            <w:shd w:val="clear" w:color="auto" w:fill="auto"/>
            <w:vAlign w:val="center"/>
            <w:hideMark/>
          </w:tcPr>
          <w:p w14:paraId="17E3BE2E"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£’000</w:t>
            </w:r>
          </w:p>
        </w:tc>
        <w:tc>
          <w:tcPr>
            <w:tcW w:w="906" w:type="dxa"/>
            <w:gridSpan w:val="2"/>
            <w:tcBorders>
              <w:top w:val="nil"/>
              <w:left w:val="nil"/>
              <w:bottom w:val="nil"/>
              <w:right w:val="nil"/>
            </w:tcBorders>
            <w:shd w:val="clear" w:color="auto" w:fill="auto"/>
            <w:vAlign w:val="center"/>
            <w:hideMark/>
          </w:tcPr>
          <w:p w14:paraId="1703A921"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£’000</w:t>
            </w:r>
          </w:p>
        </w:tc>
        <w:tc>
          <w:tcPr>
            <w:tcW w:w="1134" w:type="dxa"/>
            <w:gridSpan w:val="2"/>
            <w:tcBorders>
              <w:top w:val="nil"/>
              <w:left w:val="nil"/>
              <w:bottom w:val="nil"/>
              <w:right w:val="nil"/>
            </w:tcBorders>
            <w:shd w:val="clear" w:color="auto" w:fill="auto"/>
            <w:vAlign w:val="center"/>
            <w:hideMark/>
          </w:tcPr>
          <w:p w14:paraId="027C163B"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£’000</w:t>
            </w:r>
          </w:p>
        </w:tc>
        <w:tc>
          <w:tcPr>
            <w:tcW w:w="993" w:type="dxa"/>
            <w:tcBorders>
              <w:top w:val="nil"/>
              <w:left w:val="nil"/>
              <w:bottom w:val="nil"/>
              <w:right w:val="nil"/>
            </w:tcBorders>
            <w:shd w:val="clear" w:color="auto" w:fill="auto"/>
            <w:vAlign w:val="center"/>
            <w:hideMark/>
          </w:tcPr>
          <w:p w14:paraId="6D6D949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£’000</w:t>
            </w:r>
          </w:p>
        </w:tc>
        <w:tc>
          <w:tcPr>
            <w:tcW w:w="992" w:type="dxa"/>
            <w:gridSpan w:val="2"/>
            <w:tcBorders>
              <w:top w:val="nil"/>
              <w:left w:val="nil"/>
              <w:bottom w:val="nil"/>
              <w:right w:val="nil"/>
            </w:tcBorders>
            <w:shd w:val="clear" w:color="auto" w:fill="auto"/>
            <w:vAlign w:val="center"/>
            <w:hideMark/>
          </w:tcPr>
          <w:p w14:paraId="1FEA9025"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£’000</w:t>
            </w:r>
          </w:p>
        </w:tc>
        <w:tc>
          <w:tcPr>
            <w:tcW w:w="850" w:type="dxa"/>
            <w:tcBorders>
              <w:top w:val="nil"/>
              <w:left w:val="nil"/>
              <w:bottom w:val="nil"/>
              <w:right w:val="nil"/>
            </w:tcBorders>
            <w:shd w:val="clear" w:color="auto" w:fill="auto"/>
            <w:vAlign w:val="center"/>
            <w:hideMark/>
          </w:tcPr>
          <w:p w14:paraId="04A8AED7"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£’000</w:t>
            </w:r>
          </w:p>
        </w:tc>
      </w:tr>
      <w:tr w:rsidR="00DA54F3" w:rsidRPr="001B02FE" w14:paraId="2F9E0D79" w14:textId="77777777" w:rsidTr="00A535DB">
        <w:trPr>
          <w:trHeight w:hRule="exact" w:val="617"/>
        </w:trPr>
        <w:tc>
          <w:tcPr>
            <w:tcW w:w="1843" w:type="dxa"/>
            <w:tcBorders>
              <w:top w:val="nil"/>
              <w:left w:val="nil"/>
              <w:bottom w:val="nil"/>
              <w:right w:val="nil"/>
            </w:tcBorders>
            <w:shd w:val="clear" w:color="auto" w:fill="auto"/>
            <w:vAlign w:val="center"/>
            <w:hideMark/>
          </w:tcPr>
          <w:p w14:paraId="293177CF" w14:textId="77777777" w:rsidR="00DA54F3" w:rsidRPr="001B02FE" w:rsidRDefault="00DA54F3" w:rsidP="00A535DB">
            <w:pPr>
              <w:spacing w:after="0" w:line="240" w:lineRule="auto"/>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At 31 December 2017</w:t>
            </w:r>
          </w:p>
        </w:tc>
        <w:tc>
          <w:tcPr>
            <w:tcW w:w="851" w:type="dxa"/>
            <w:tcBorders>
              <w:top w:val="nil"/>
              <w:left w:val="nil"/>
              <w:bottom w:val="nil"/>
              <w:right w:val="nil"/>
            </w:tcBorders>
            <w:shd w:val="clear" w:color="auto" w:fill="auto"/>
            <w:vAlign w:val="center"/>
            <w:hideMark/>
          </w:tcPr>
          <w:p w14:paraId="69CE1491"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6,683</w:t>
            </w:r>
          </w:p>
        </w:tc>
        <w:tc>
          <w:tcPr>
            <w:tcW w:w="992" w:type="dxa"/>
            <w:tcBorders>
              <w:top w:val="nil"/>
              <w:left w:val="nil"/>
              <w:bottom w:val="nil"/>
              <w:right w:val="nil"/>
            </w:tcBorders>
            <w:shd w:val="clear" w:color="auto" w:fill="auto"/>
            <w:vAlign w:val="center"/>
            <w:hideMark/>
          </w:tcPr>
          <w:p w14:paraId="21F7ECBF"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22,339</w:t>
            </w:r>
          </w:p>
        </w:tc>
        <w:tc>
          <w:tcPr>
            <w:tcW w:w="1078" w:type="dxa"/>
            <w:gridSpan w:val="3"/>
            <w:tcBorders>
              <w:top w:val="nil"/>
              <w:left w:val="nil"/>
              <w:bottom w:val="nil"/>
              <w:right w:val="nil"/>
            </w:tcBorders>
            <w:shd w:val="clear" w:color="auto" w:fill="auto"/>
            <w:vAlign w:val="center"/>
            <w:hideMark/>
          </w:tcPr>
          <w:p w14:paraId="3F422EB5"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(397)</w:t>
            </w:r>
          </w:p>
        </w:tc>
        <w:tc>
          <w:tcPr>
            <w:tcW w:w="906" w:type="dxa"/>
            <w:gridSpan w:val="2"/>
            <w:tcBorders>
              <w:top w:val="nil"/>
              <w:left w:val="nil"/>
              <w:bottom w:val="nil"/>
              <w:right w:val="nil"/>
            </w:tcBorders>
            <w:shd w:val="clear" w:color="auto" w:fill="auto"/>
            <w:vAlign w:val="center"/>
            <w:hideMark/>
          </w:tcPr>
          <w:p w14:paraId="6906AEFE"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(907)</w:t>
            </w:r>
          </w:p>
        </w:tc>
        <w:tc>
          <w:tcPr>
            <w:tcW w:w="1134" w:type="dxa"/>
            <w:gridSpan w:val="2"/>
            <w:tcBorders>
              <w:top w:val="nil"/>
              <w:left w:val="nil"/>
              <w:bottom w:val="nil"/>
              <w:right w:val="nil"/>
            </w:tcBorders>
            <w:shd w:val="clear" w:color="auto" w:fill="auto"/>
            <w:vAlign w:val="center"/>
            <w:hideMark/>
          </w:tcPr>
          <w:p w14:paraId="40742CED"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28</w:t>
            </w:r>
          </w:p>
        </w:tc>
        <w:tc>
          <w:tcPr>
            <w:tcW w:w="993" w:type="dxa"/>
            <w:tcBorders>
              <w:top w:val="nil"/>
              <w:left w:val="nil"/>
              <w:bottom w:val="nil"/>
              <w:right w:val="nil"/>
            </w:tcBorders>
            <w:shd w:val="clear" w:color="auto" w:fill="auto"/>
            <w:vAlign w:val="center"/>
            <w:hideMark/>
          </w:tcPr>
          <w:p w14:paraId="43EC5418"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gridSpan w:val="2"/>
            <w:tcBorders>
              <w:top w:val="nil"/>
              <w:left w:val="nil"/>
              <w:bottom w:val="nil"/>
              <w:right w:val="nil"/>
            </w:tcBorders>
            <w:shd w:val="clear" w:color="auto" w:fill="auto"/>
            <w:vAlign w:val="center"/>
            <w:hideMark/>
          </w:tcPr>
          <w:p w14:paraId="5C62E7F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(4,938)</w:t>
            </w:r>
          </w:p>
        </w:tc>
        <w:tc>
          <w:tcPr>
            <w:tcW w:w="850" w:type="dxa"/>
            <w:tcBorders>
              <w:top w:val="nil"/>
              <w:left w:val="nil"/>
              <w:bottom w:val="nil"/>
              <w:right w:val="nil"/>
            </w:tcBorders>
            <w:shd w:val="clear" w:color="auto" w:fill="auto"/>
            <w:vAlign w:val="center"/>
            <w:hideMark/>
          </w:tcPr>
          <w:p w14:paraId="596916D7"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22,808</w:t>
            </w:r>
          </w:p>
        </w:tc>
      </w:tr>
      <w:tr w:rsidR="00DA54F3" w:rsidRPr="001B02FE" w14:paraId="591E8A30" w14:textId="77777777" w:rsidTr="00A535DB">
        <w:trPr>
          <w:trHeight w:val="265"/>
        </w:trPr>
        <w:tc>
          <w:tcPr>
            <w:tcW w:w="1843" w:type="dxa"/>
            <w:tcBorders>
              <w:top w:val="nil"/>
              <w:left w:val="nil"/>
              <w:bottom w:val="nil"/>
              <w:right w:val="nil"/>
            </w:tcBorders>
            <w:shd w:val="clear" w:color="auto" w:fill="auto"/>
            <w:vAlign w:val="center"/>
            <w:hideMark/>
          </w:tcPr>
          <w:p w14:paraId="5D77ACDA" w14:textId="77777777" w:rsidR="00DA54F3" w:rsidRPr="001B02FE" w:rsidRDefault="00DA54F3" w:rsidP="00A535DB">
            <w:pPr>
              <w:spacing w:after="0" w:line="240" w:lineRule="auto"/>
              <w:jc w:val="right"/>
              <w:rPr>
                <w:rFonts w:eastAsia="Times New Roman" w:cstheme="minorHAnsi"/>
                <w:b/>
                <w:bCs/>
                <w:color w:val="000000"/>
                <w:sz w:val="20"/>
                <w:szCs w:val="20"/>
                <w:lang w:eastAsia="en-GB"/>
              </w:rPr>
            </w:pPr>
          </w:p>
        </w:tc>
        <w:tc>
          <w:tcPr>
            <w:tcW w:w="851" w:type="dxa"/>
            <w:tcBorders>
              <w:top w:val="nil"/>
              <w:left w:val="nil"/>
              <w:bottom w:val="nil"/>
              <w:right w:val="nil"/>
            </w:tcBorders>
            <w:shd w:val="clear" w:color="auto" w:fill="auto"/>
            <w:vAlign w:val="center"/>
            <w:hideMark/>
          </w:tcPr>
          <w:p w14:paraId="532F157D"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vAlign w:val="center"/>
            <w:hideMark/>
          </w:tcPr>
          <w:p w14:paraId="505844A2"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078" w:type="dxa"/>
            <w:gridSpan w:val="3"/>
            <w:tcBorders>
              <w:top w:val="nil"/>
              <w:left w:val="nil"/>
              <w:bottom w:val="nil"/>
              <w:right w:val="nil"/>
            </w:tcBorders>
            <w:shd w:val="clear" w:color="auto" w:fill="auto"/>
            <w:vAlign w:val="center"/>
            <w:hideMark/>
          </w:tcPr>
          <w:p w14:paraId="654DEE17"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06" w:type="dxa"/>
            <w:gridSpan w:val="2"/>
            <w:tcBorders>
              <w:top w:val="nil"/>
              <w:left w:val="nil"/>
              <w:bottom w:val="nil"/>
              <w:right w:val="nil"/>
            </w:tcBorders>
            <w:shd w:val="clear" w:color="auto" w:fill="auto"/>
            <w:vAlign w:val="center"/>
            <w:hideMark/>
          </w:tcPr>
          <w:p w14:paraId="79B3D021"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134" w:type="dxa"/>
            <w:gridSpan w:val="2"/>
            <w:tcBorders>
              <w:top w:val="nil"/>
              <w:left w:val="nil"/>
              <w:bottom w:val="nil"/>
              <w:right w:val="nil"/>
            </w:tcBorders>
            <w:shd w:val="clear" w:color="auto" w:fill="auto"/>
            <w:vAlign w:val="center"/>
            <w:hideMark/>
          </w:tcPr>
          <w:p w14:paraId="024471C9"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93" w:type="dxa"/>
            <w:tcBorders>
              <w:top w:val="nil"/>
              <w:left w:val="nil"/>
              <w:bottom w:val="nil"/>
              <w:right w:val="nil"/>
            </w:tcBorders>
            <w:shd w:val="clear" w:color="auto" w:fill="auto"/>
            <w:vAlign w:val="center"/>
            <w:hideMark/>
          </w:tcPr>
          <w:p w14:paraId="16CDDFCC"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92" w:type="dxa"/>
            <w:gridSpan w:val="2"/>
            <w:tcBorders>
              <w:top w:val="nil"/>
              <w:left w:val="nil"/>
              <w:bottom w:val="nil"/>
              <w:right w:val="nil"/>
            </w:tcBorders>
            <w:shd w:val="clear" w:color="auto" w:fill="auto"/>
            <w:vAlign w:val="center"/>
            <w:hideMark/>
          </w:tcPr>
          <w:p w14:paraId="730F5C4A"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850" w:type="dxa"/>
            <w:tcBorders>
              <w:top w:val="nil"/>
              <w:left w:val="nil"/>
              <w:bottom w:val="nil"/>
              <w:right w:val="nil"/>
            </w:tcBorders>
            <w:shd w:val="clear" w:color="auto" w:fill="auto"/>
            <w:vAlign w:val="center"/>
            <w:hideMark/>
          </w:tcPr>
          <w:p w14:paraId="2F548928" w14:textId="77777777" w:rsidR="00DA54F3" w:rsidRPr="001B02FE" w:rsidRDefault="00DA54F3" w:rsidP="00A535DB">
            <w:pPr>
              <w:spacing w:after="0" w:line="240" w:lineRule="auto"/>
              <w:jc w:val="center"/>
              <w:rPr>
                <w:rFonts w:eastAsia="Times New Roman" w:cstheme="minorHAnsi"/>
                <w:sz w:val="20"/>
                <w:szCs w:val="20"/>
                <w:lang w:eastAsia="en-GB"/>
              </w:rPr>
            </w:pPr>
          </w:p>
        </w:tc>
      </w:tr>
      <w:tr w:rsidR="00DA54F3" w:rsidRPr="001B02FE" w14:paraId="1FA4E21A" w14:textId="77777777" w:rsidTr="00A535DB">
        <w:trPr>
          <w:trHeight w:val="531"/>
        </w:trPr>
        <w:tc>
          <w:tcPr>
            <w:tcW w:w="1843" w:type="dxa"/>
            <w:tcBorders>
              <w:top w:val="nil"/>
              <w:left w:val="nil"/>
              <w:bottom w:val="nil"/>
              <w:right w:val="nil"/>
            </w:tcBorders>
            <w:shd w:val="clear" w:color="auto" w:fill="auto"/>
            <w:vAlign w:val="center"/>
            <w:hideMark/>
          </w:tcPr>
          <w:p w14:paraId="03A8384C"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Calibri" w:cstheme="minorHAnsi"/>
                <w:color w:val="000000"/>
                <w:sz w:val="20"/>
                <w:szCs w:val="20"/>
                <w:lang w:eastAsia="en-GB"/>
              </w:rPr>
              <w:t>Total comprehensive loss for the year</w:t>
            </w:r>
          </w:p>
        </w:tc>
        <w:tc>
          <w:tcPr>
            <w:tcW w:w="851" w:type="dxa"/>
            <w:tcBorders>
              <w:top w:val="nil"/>
              <w:left w:val="nil"/>
              <w:bottom w:val="nil"/>
              <w:right w:val="nil"/>
            </w:tcBorders>
            <w:shd w:val="clear" w:color="auto" w:fill="auto"/>
            <w:vAlign w:val="center"/>
            <w:hideMark/>
          </w:tcPr>
          <w:p w14:paraId="67845B7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tcBorders>
              <w:top w:val="nil"/>
              <w:left w:val="nil"/>
              <w:bottom w:val="nil"/>
              <w:right w:val="nil"/>
            </w:tcBorders>
            <w:shd w:val="clear" w:color="auto" w:fill="auto"/>
            <w:vAlign w:val="center"/>
            <w:hideMark/>
          </w:tcPr>
          <w:p w14:paraId="5BB5528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078" w:type="dxa"/>
            <w:gridSpan w:val="3"/>
            <w:tcBorders>
              <w:top w:val="nil"/>
              <w:left w:val="nil"/>
              <w:bottom w:val="nil"/>
              <w:right w:val="nil"/>
            </w:tcBorders>
            <w:shd w:val="clear" w:color="auto" w:fill="auto"/>
            <w:vAlign w:val="center"/>
            <w:hideMark/>
          </w:tcPr>
          <w:p w14:paraId="562CA3C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06" w:type="dxa"/>
            <w:gridSpan w:val="2"/>
            <w:tcBorders>
              <w:top w:val="nil"/>
              <w:left w:val="nil"/>
              <w:bottom w:val="nil"/>
              <w:right w:val="nil"/>
            </w:tcBorders>
            <w:shd w:val="clear" w:color="auto" w:fill="auto"/>
            <w:vAlign w:val="center"/>
            <w:hideMark/>
          </w:tcPr>
          <w:p w14:paraId="099481E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134" w:type="dxa"/>
            <w:gridSpan w:val="2"/>
            <w:tcBorders>
              <w:top w:val="nil"/>
              <w:left w:val="nil"/>
              <w:bottom w:val="nil"/>
              <w:right w:val="nil"/>
            </w:tcBorders>
            <w:shd w:val="clear" w:color="auto" w:fill="auto"/>
            <w:vAlign w:val="center"/>
            <w:hideMark/>
          </w:tcPr>
          <w:p w14:paraId="21486EF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(125)</w:t>
            </w:r>
          </w:p>
        </w:tc>
        <w:tc>
          <w:tcPr>
            <w:tcW w:w="993" w:type="dxa"/>
            <w:tcBorders>
              <w:top w:val="nil"/>
              <w:left w:val="nil"/>
              <w:bottom w:val="nil"/>
              <w:right w:val="nil"/>
            </w:tcBorders>
            <w:shd w:val="clear" w:color="auto" w:fill="auto"/>
            <w:vAlign w:val="center"/>
            <w:hideMark/>
          </w:tcPr>
          <w:p w14:paraId="72D67AE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gridSpan w:val="2"/>
            <w:tcBorders>
              <w:top w:val="nil"/>
              <w:left w:val="nil"/>
              <w:bottom w:val="nil"/>
              <w:right w:val="nil"/>
            </w:tcBorders>
            <w:shd w:val="clear" w:color="auto" w:fill="auto"/>
            <w:vAlign w:val="center"/>
            <w:hideMark/>
          </w:tcPr>
          <w:p w14:paraId="293518E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(5,875)</w:t>
            </w:r>
          </w:p>
        </w:tc>
        <w:tc>
          <w:tcPr>
            <w:tcW w:w="850" w:type="dxa"/>
            <w:tcBorders>
              <w:top w:val="nil"/>
              <w:left w:val="nil"/>
              <w:bottom w:val="nil"/>
              <w:right w:val="nil"/>
            </w:tcBorders>
            <w:shd w:val="clear" w:color="auto" w:fill="auto"/>
            <w:vAlign w:val="center"/>
            <w:hideMark/>
          </w:tcPr>
          <w:p w14:paraId="750A1A6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(6,000)</w:t>
            </w:r>
          </w:p>
        </w:tc>
      </w:tr>
      <w:tr w:rsidR="00DA54F3" w:rsidRPr="001B02FE" w14:paraId="7B584E64" w14:textId="77777777" w:rsidTr="00A535DB">
        <w:trPr>
          <w:trHeight w:val="345"/>
        </w:trPr>
        <w:tc>
          <w:tcPr>
            <w:tcW w:w="1843" w:type="dxa"/>
            <w:tcBorders>
              <w:top w:val="nil"/>
              <w:left w:val="nil"/>
              <w:bottom w:val="nil"/>
              <w:right w:val="nil"/>
            </w:tcBorders>
            <w:shd w:val="clear" w:color="auto" w:fill="auto"/>
            <w:vAlign w:val="center"/>
            <w:hideMark/>
          </w:tcPr>
          <w:p w14:paraId="1382C7E7" w14:textId="77777777" w:rsidR="00DA54F3" w:rsidRPr="001B02FE" w:rsidRDefault="00DA54F3" w:rsidP="00A535DB">
            <w:pPr>
              <w:spacing w:after="0" w:line="240" w:lineRule="auto"/>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Transactions with owners</w:t>
            </w:r>
          </w:p>
        </w:tc>
        <w:tc>
          <w:tcPr>
            <w:tcW w:w="851" w:type="dxa"/>
            <w:tcBorders>
              <w:top w:val="nil"/>
              <w:left w:val="nil"/>
              <w:bottom w:val="nil"/>
              <w:right w:val="nil"/>
            </w:tcBorders>
            <w:shd w:val="clear" w:color="auto" w:fill="auto"/>
            <w:vAlign w:val="center"/>
            <w:hideMark/>
          </w:tcPr>
          <w:p w14:paraId="1B3BB533"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p>
        </w:tc>
        <w:tc>
          <w:tcPr>
            <w:tcW w:w="992" w:type="dxa"/>
            <w:tcBorders>
              <w:top w:val="nil"/>
              <w:left w:val="nil"/>
              <w:bottom w:val="nil"/>
              <w:right w:val="nil"/>
            </w:tcBorders>
            <w:shd w:val="clear" w:color="auto" w:fill="auto"/>
            <w:vAlign w:val="center"/>
            <w:hideMark/>
          </w:tcPr>
          <w:p w14:paraId="5CA3158E"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078" w:type="dxa"/>
            <w:gridSpan w:val="3"/>
            <w:tcBorders>
              <w:top w:val="nil"/>
              <w:left w:val="nil"/>
              <w:bottom w:val="nil"/>
              <w:right w:val="nil"/>
            </w:tcBorders>
            <w:shd w:val="clear" w:color="auto" w:fill="auto"/>
            <w:vAlign w:val="center"/>
            <w:hideMark/>
          </w:tcPr>
          <w:p w14:paraId="777ED2FB"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06" w:type="dxa"/>
            <w:gridSpan w:val="2"/>
            <w:tcBorders>
              <w:top w:val="nil"/>
              <w:left w:val="nil"/>
              <w:bottom w:val="nil"/>
              <w:right w:val="nil"/>
            </w:tcBorders>
            <w:shd w:val="clear" w:color="auto" w:fill="auto"/>
            <w:vAlign w:val="center"/>
            <w:hideMark/>
          </w:tcPr>
          <w:p w14:paraId="5770E4B0"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134" w:type="dxa"/>
            <w:gridSpan w:val="2"/>
            <w:tcBorders>
              <w:top w:val="nil"/>
              <w:left w:val="nil"/>
              <w:bottom w:val="nil"/>
              <w:right w:val="nil"/>
            </w:tcBorders>
            <w:shd w:val="clear" w:color="auto" w:fill="auto"/>
            <w:vAlign w:val="center"/>
            <w:hideMark/>
          </w:tcPr>
          <w:p w14:paraId="2102175F"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93" w:type="dxa"/>
            <w:tcBorders>
              <w:top w:val="nil"/>
              <w:left w:val="nil"/>
              <w:bottom w:val="nil"/>
              <w:right w:val="nil"/>
            </w:tcBorders>
            <w:shd w:val="clear" w:color="auto" w:fill="auto"/>
            <w:vAlign w:val="center"/>
            <w:hideMark/>
          </w:tcPr>
          <w:p w14:paraId="68474C69"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92" w:type="dxa"/>
            <w:gridSpan w:val="2"/>
            <w:tcBorders>
              <w:top w:val="nil"/>
              <w:left w:val="nil"/>
              <w:bottom w:val="nil"/>
              <w:right w:val="nil"/>
            </w:tcBorders>
            <w:shd w:val="clear" w:color="auto" w:fill="auto"/>
            <w:vAlign w:val="center"/>
            <w:hideMark/>
          </w:tcPr>
          <w:p w14:paraId="124B3B21"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850" w:type="dxa"/>
            <w:tcBorders>
              <w:top w:val="nil"/>
              <w:left w:val="nil"/>
              <w:bottom w:val="nil"/>
              <w:right w:val="nil"/>
            </w:tcBorders>
            <w:shd w:val="clear" w:color="auto" w:fill="auto"/>
            <w:vAlign w:val="center"/>
            <w:hideMark/>
          </w:tcPr>
          <w:p w14:paraId="6B281270" w14:textId="77777777" w:rsidR="00DA54F3" w:rsidRPr="001B02FE" w:rsidRDefault="00DA54F3" w:rsidP="00A535DB">
            <w:pPr>
              <w:spacing w:after="0" w:line="240" w:lineRule="auto"/>
              <w:jc w:val="center"/>
              <w:rPr>
                <w:rFonts w:eastAsia="Times New Roman" w:cstheme="minorHAnsi"/>
                <w:sz w:val="20"/>
                <w:szCs w:val="20"/>
                <w:lang w:eastAsia="en-GB"/>
              </w:rPr>
            </w:pPr>
          </w:p>
        </w:tc>
      </w:tr>
      <w:tr w:rsidR="00DA54F3" w:rsidRPr="001B02FE" w14:paraId="0A1B8C43" w14:textId="77777777" w:rsidTr="00A535DB">
        <w:trPr>
          <w:trHeight w:val="425"/>
        </w:trPr>
        <w:tc>
          <w:tcPr>
            <w:tcW w:w="1843" w:type="dxa"/>
            <w:tcBorders>
              <w:top w:val="nil"/>
              <w:left w:val="nil"/>
              <w:bottom w:val="nil"/>
              <w:right w:val="nil"/>
            </w:tcBorders>
            <w:shd w:val="clear" w:color="auto" w:fill="auto"/>
            <w:vAlign w:val="center"/>
            <w:hideMark/>
          </w:tcPr>
          <w:p w14:paraId="05C44E57" w14:textId="77777777" w:rsidR="00DA54F3" w:rsidRPr="001B02FE" w:rsidRDefault="00DA54F3" w:rsidP="00A535DB">
            <w:pPr>
              <w:spacing w:after="0" w:line="240" w:lineRule="auto"/>
              <w:rPr>
                <w:rFonts w:eastAsia="Times New Roman" w:cstheme="minorHAnsi"/>
                <w:i/>
                <w:iCs/>
                <w:color w:val="000000"/>
                <w:sz w:val="20"/>
                <w:szCs w:val="20"/>
                <w:lang w:eastAsia="en-GB"/>
              </w:rPr>
            </w:pPr>
            <w:r w:rsidRPr="001B02FE">
              <w:rPr>
                <w:rFonts w:eastAsia="Calibri" w:cstheme="minorHAnsi"/>
                <w:i/>
                <w:iCs/>
                <w:color w:val="000000"/>
                <w:sz w:val="20"/>
                <w:szCs w:val="20"/>
                <w:lang w:eastAsia="en-GB"/>
              </w:rPr>
              <w:t>Issue of shares:</w:t>
            </w:r>
          </w:p>
        </w:tc>
        <w:tc>
          <w:tcPr>
            <w:tcW w:w="851" w:type="dxa"/>
            <w:tcBorders>
              <w:top w:val="nil"/>
              <w:left w:val="nil"/>
              <w:bottom w:val="nil"/>
              <w:right w:val="nil"/>
            </w:tcBorders>
            <w:shd w:val="clear" w:color="auto" w:fill="auto"/>
            <w:vAlign w:val="center"/>
            <w:hideMark/>
          </w:tcPr>
          <w:p w14:paraId="56FE0465" w14:textId="77777777" w:rsidR="00DA54F3" w:rsidRPr="001B02FE" w:rsidRDefault="00DA54F3" w:rsidP="00A535DB">
            <w:pPr>
              <w:spacing w:after="0" w:line="240" w:lineRule="auto"/>
              <w:jc w:val="center"/>
              <w:rPr>
                <w:rFonts w:eastAsia="Times New Roman" w:cstheme="minorHAnsi"/>
                <w:i/>
                <w:iCs/>
                <w:color w:val="000000"/>
                <w:sz w:val="20"/>
                <w:szCs w:val="20"/>
                <w:lang w:eastAsia="en-GB"/>
              </w:rPr>
            </w:pPr>
          </w:p>
        </w:tc>
        <w:tc>
          <w:tcPr>
            <w:tcW w:w="992" w:type="dxa"/>
            <w:tcBorders>
              <w:top w:val="nil"/>
              <w:left w:val="nil"/>
              <w:bottom w:val="nil"/>
              <w:right w:val="nil"/>
            </w:tcBorders>
            <w:shd w:val="clear" w:color="auto" w:fill="auto"/>
            <w:vAlign w:val="center"/>
            <w:hideMark/>
          </w:tcPr>
          <w:p w14:paraId="69FB77A5"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078" w:type="dxa"/>
            <w:gridSpan w:val="3"/>
            <w:tcBorders>
              <w:top w:val="nil"/>
              <w:left w:val="nil"/>
              <w:bottom w:val="nil"/>
              <w:right w:val="nil"/>
            </w:tcBorders>
            <w:shd w:val="clear" w:color="auto" w:fill="auto"/>
            <w:vAlign w:val="center"/>
            <w:hideMark/>
          </w:tcPr>
          <w:p w14:paraId="6F29F6CA"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06" w:type="dxa"/>
            <w:gridSpan w:val="2"/>
            <w:tcBorders>
              <w:top w:val="nil"/>
              <w:left w:val="nil"/>
              <w:bottom w:val="nil"/>
              <w:right w:val="nil"/>
            </w:tcBorders>
            <w:shd w:val="clear" w:color="auto" w:fill="auto"/>
            <w:vAlign w:val="center"/>
            <w:hideMark/>
          </w:tcPr>
          <w:p w14:paraId="37ED9B45"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134" w:type="dxa"/>
            <w:gridSpan w:val="2"/>
            <w:tcBorders>
              <w:top w:val="nil"/>
              <w:left w:val="nil"/>
              <w:bottom w:val="nil"/>
              <w:right w:val="nil"/>
            </w:tcBorders>
            <w:shd w:val="clear" w:color="auto" w:fill="auto"/>
            <w:vAlign w:val="center"/>
            <w:hideMark/>
          </w:tcPr>
          <w:p w14:paraId="316A7185"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93" w:type="dxa"/>
            <w:tcBorders>
              <w:top w:val="nil"/>
              <w:left w:val="nil"/>
              <w:bottom w:val="nil"/>
              <w:right w:val="nil"/>
            </w:tcBorders>
            <w:shd w:val="clear" w:color="auto" w:fill="auto"/>
            <w:vAlign w:val="center"/>
            <w:hideMark/>
          </w:tcPr>
          <w:p w14:paraId="5B91D1C8"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92" w:type="dxa"/>
            <w:gridSpan w:val="2"/>
            <w:tcBorders>
              <w:top w:val="nil"/>
              <w:left w:val="nil"/>
              <w:bottom w:val="nil"/>
              <w:right w:val="nil"/>
            </w:tcBorders>
            <w:shd w:val="clear" w:color="auto" w:fill="auto"/>
            <w:vAlign w:val="center"/>
            <w:hideMark/>
          </w:tcPr>
          <w:p w14:paraId="0429D707"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850" w:type="dxa"/>
            <w:tcBorders>
              <w:top w:val="nil"/>
              <w:left w:val="nil"/>
              <w:bottom w:val="nil"/>
              <w:right w:val="nil"/>
            </w:tcBorders>
            <w:shd w:val="clear" w:color="auto" w:fill="auto"/>
            <w:vAlign w:val="center"/>
            <w:hideMark/>
          </w:tcPr>
          <w:p w14:paraId="542AD433" w14:textId="77777777" w:rsidR="00DA54F3" w:rsidRPr="001B02FE" w:rsidRDefault="00DA54F3" w:rsidP="00A535DB">
            <w:pPr>
              <w:spacing w:after="0" w:line="240" w:lineRule="auto"/>
              <w:jc w:val="center"/>
              <w:rPr>
                <w:rFonts w:eastAsia="Times New Roman" w:cstheme="minorHAnsi"/>
                <w:sz w:val="20"/>
                <w:szCs w:val="20"/>
                <w:lang w:eastAsia="en-GB"/>
              </w:rPr>
            </w:pPr>
          </w:p>
        </w:tc>
      </w:tr>
      <w:tr w:rsidR="00DA54F3" w:rsidRPr="001B02FE" w14:paraId="6EF4E233" w14:textId="77777777" w:rsidTr="00A535DB">
        <w:trPr>
          <w:trHeight w:val="505"/>
        </w:trPr>
        <w:tc>
          <w:tcPr>
            <w:tcW w:w="1843" w:type="dxa"/>
            <w:tcBorders>
              <w:top w:val="nil"/>
              <w:left w:val="nil"/>
              <w:bottom w:val="nil"/>
              <w:right w:val="nil"/>
            </w:tcBorders>
            <w:shd w:val="clear" w:color="auto" w:fill="auto"/>
            <w:vAlign w:val="center"/>
            <w:hideMark/>
          </w:tcPr>
          <w:p w14:paraId="5DE090BF" w14:textId="77777777" w:rsidR="00DA54F3" w:rsidRPr="001B02FE" w:rsidRDefault="00DA54F3" w:rsidP="00A535DB">
            <w:pPr>
              <w:spacing w:after="0" w:line="240" w:lineRule="auto"/>
              <w:ind w:firstLineChars="100" w:firstLine="200"/>
              <w:rPr>
                <w:rFonts w:eastAsia="Times New Roman" w:cstheme="minorHAnsi"/>
                <w:color w:val="000000"/>
                <w:sz w:val="20"/>
                <w:szCs w:val="20"/>
                <w:lang w:eastAsia="en-GB"/>
              </w:rPr>
            </w:pPr>
            <w:r w:rsidRPr="001B02FE">
              <w:rPr>
                <w:rFonts w:eastAsia="Tahoma" w:cstheme="minorHAnsi"/>
                <w:color w:val="000000"/>
                <w:sz w:val="20"/>
                <w:szCs w:val="20"/>
                <w:lang w:eastAsia="en-GB"/>
              </w:rPr>
              <w:t>-  Issued in return for sponsorship services</w:t>
            </w:r>
          </w:p>
        </w:tc>
        <w:tc>
          <w:tcPr>
            <w:tcW w:w="851" w:type="dxa"/>
            <w:tcBorders>
              <w:top w:val="nil"/>
              <w:left w:val="nil"/>
              <w:bottom w:val="nil"/>
              <w:right w:val="nil"/>
            </w:tcBorders>
            <w:shd w:val="clear" w:color="auto" w:fill="auto"/>
            <w:vAlign w:val="center"/>
            <w:hideMark/>
          </w:tcPr>
          <w:p w14:paraId="0B1DE840"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57</w:t>
            </w:r>
          </w:p>
        </w:tc>
        <w:tc>
          <w:tcPr>
            <w:tcW w:w="992" w:type="dxa"/>
            <w:tcBorders>
              <w:top w:val="nil"/>
              <w:left w:val="nil"/>
              <w:bottom w:val="nil"/>
              <w:right w:val="nil"/>
            </w:tcBorders>
            <w:shd w:val="clear" w:color="auto" w:fill="auto"/>
            <w:vAlign w:val="center"/>
            <w:hideMark/>
          </w:tcPr>
          <w:p w14:paraId="1563923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368</w:t>
            </w:r>
          </w:p>
        </w:tc>
        <w:tc>
          <w:tcPr>
            <w:tcW w:w="1078" w:type="dxa"/>
            <w:gridSpan w:val="3"/>
            <w:tcBorders>
              <w:top w:val="nil"/>
              <w:left w:val="nil"/>
              <w:bottom w:val="nil"/>
              <w:right w:val="nil"/>
            </w:tcBorders>
            <w:shd w:val="clear" w:color="auto" w:fill="auto"/>
            <w:vAlign w:val="center"/>
            <w:hideMark/>
          </w:tcPr>
          <w:p w14:paraId="27EC9C2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06" w:type="dxa"/>
            <w:gridSpan w:val="2"/>
            <w:tcBorders>
              <w:top w:val="nil"/>
              <w:left w:val="nil"/>
              <w:bottom w:val="nil"/>
              <w:right w:val="nil"/>
            </w:tcBorders>
            <w:shd w:val="clear" w:color="auto" w:fill="auto"/>
            <w:vAlign w:val="center"/>
            <w:hideMark/>
          </w:tcPr>
          <w:p w14:paraId="3B2F2DA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134" w:type="dxa"/>
            <w:gridSpan w:val="2"/>
            <w:tcBorders>
              <w:top w:val="nil"/>
              <w:left w:val="nil"/>
              <w:bottom w:val="nil"/>
              <w:right w:val="nil"/>
            </w:tcBorders>
            <w:shd w:val="clear" w:color="auto" w:fill="auto"/>
            <w:vAlign w:val="center"/>
            <w:hideMark/>
          </w:tcPr>
          <w:p w14:paraId="1BF837D1"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3" w:type="dxa"/>
            <w:tcBorders>
              <w:top w:val="nil"/>
              <w:left w:val="nil"/>
              <w:bottom w:val="nil"/>
              <w:right w:val="nil"/>
            </w:tcBorders>
            <w:shd w:val="clear" w:color="auto" w:fill="auto"/>
            <w:vAlign w:val="center"/>
            <w:hideMark/>
          </w:tcPr>
          <w:p w14:paraId="1C820AF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w:t>
            </w:r>
          </w:p>
        </w:tc>
        <w:tc>
          <w:tcPr>
            <w:tcW w:w="992" w:type="dxa"/>
            <w:gridSpan w:val="2"/>
            <w:tcBorders>
              <w:top w:val="nil"/>
              <w:left w:val="nil"/>
              <w:bottom w:val="nil"/>
              <w:right w:val="nil"/>
            </w:tcBorders>
            <w:shd w:val="clear" w:color="auto" w:fill="auto"/>
            <w:vAlign w:val="center"/>
            <w:hideMark/>
          </w:tcPr>
          <w:p w14:paraId="43EB8ED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850" w:type="dxa"/>
            <w:tcBorders>
              <w:top w:val="nil"/>
              <w:left w:val="nil"/>
              <w:bottom w:val="nil"/>
              <w:right w:val="nil"/>
            </w:tcBorders>
            <w:shd w:val="clear" w:color="auto" w:fill="auto"/>
            <w:vAlign w:val="center"/>
            <w:hideMark/>
          </w:tcPr>
          <w:p w14:paraId="3ED43B5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425</w:t>
            </w:r>
          </w:p>
        </w:tc>
      </w:tr>
      <w:tr w:rsidR="00DA54F3" w:rsidRPr="001B02FE" w14:paraId="4BBD7E65" w14:textId="77777777" w:rsidTr="00A535DB">
        <w:trPr>
          <w:trHeight w:val="305"/>
        </w:trPr>
        <w:tc>
          <w:tcPr>
            <w:tcW w:w="1843" w:type="dxa"/>
            <w:tcBorders>
              <w:top w:val="nil"/>
              <w:left w:val="nil"/>
              <w:bottom w:val="nil"/>
              <w:right w:val="nil"/>
            </w:tcBorders>
            <w:shd w:val="clear" w:color="auto" w:fill="auto"/>
            <w:vAlign w:val="center"/>
            <w:hideMark/>
          </w:tcPr>
          <w:p w14:paraId="4396B2D1" w14:textId="77777777" w:rsidR="00DA54F3" w:rsidRPr="001B02FE" w:rsidRDefault="00DA54F3" w:rsidP="00A535DB">
            <w:pPr>
              <w:spacing w:after="0" w:line="240" w:lineRule="auto"/>
              <w:ind w:firstLineChars="100" w:firstLine="200"/>
              <w:rPr>
                <w:rFonts w:eastAsia="Times New Roman" w:cstheme="minorHAnsi"/>
                <w:color w:val="000000"/>
                <w:sz w:val="20"/>
                <w:szCs w:val="20"/>
                <w:lang w:eastAsia="en-GB"/>
              </w:rPr>
            </w:pPr>
            <w:r w:rsidRPr="001B02FE">
              <w:rPr>
                <w:rFonts w:eastAsia="Tahoma" w:cstheme="minorHAnsi"/>
                <w:color w:val="000000"/>
                <w:sz w:val="20"/>
                <w:szCs w:val="20"/>
                <w:lang w:eastAsia="en-GB"/>
              </w:rPr>
              <w:t>-  Placing</w:t>
            </w:r>
          </w:p>
        </w:tc>
        <w:tc>
          <w:tcPr>
            <w:tcW w:w="851" w:type="dxa"/>
            <w:tcBorders>
              <w:top w:val="nil"/>
              <w:left w:val="nil"/>
              <w:bottom w:val="nil"/>
              <w:right w:val="nil"/>
            </w:tcBorders>
            <w:shd w:val="clear" w:color="auto" w:fill="auto"/>
            <w:vAlign w:val="center"/>
            <w:hideMark/>
          </w:tcPr>
          <w:p w14:paraId="0756D22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4,840</w:t>
            </w:r>
          </w:p>
        </w:tc>
        <w:tc>
          <w:tcPr>
            <w:tcW w:w="992" w:type="dxa"/>
            <w:tcBorders>
              <w:top w:val="nil"/>
              <w:left w:val="nil"/>
              <w:bottom w:val="nil"/>
              <w:right w:val="nil"/>
            </w:tcBorders>
            <w:shd w:val="clear" w:color="auto" w:fill="auto"/>
            <w:vAlign w:val="center"/>
            <w:hideMark/>
          </w:tcPr>
          <w:p w14:paraId="28C9981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24,197</w:t>
            </w:r>
          </w:p>
        </w:tc>
        <w:tc>
          <w:tcPr>
            <w:tcW w:w="1078" w:type="dxa"/>
            <w:gridSpan w:val="3"/>
            <w:tcBorders>
              <w:top w:val="nil"/>
              <w:left w:val="nil"/>
              <w:bottom w:val="nil"/>
              <w:right w:val="nil"/>
            </w:tcBorders>
            <w:shd w:val="clear" w:color="auto" w:fill="auto"/>
            <w:vAlign w:val="center"/>
            <w:hideMark/>
          </w:tcPr>
          <w:p w14:paraId="58DC3D0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06" w:type="dxa"/>
            <w:gridSpan w:val="2"/>
            <w:tcBorders>
              <w:top w:val="nil"/>
              <w:left w:val="nil"/>
              <w:bottom w:val="nil"/>
              <w:right w:val="nil"/>
            </w:tcBorders>
            <w:shd w:val="clear" w:color="auto" w:fill="auto"/>
            <w:vAlign w:val="center"/>
            <w:hideMark/>
          </w:tcPr>
          <w:p w14:paraId="141D7EB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134" w:type="dxa"/>
            <w:gridSpan w:val="2"/>
            <w:tcBorders>
              <w:top w:val="nil"/>
              <w:left w:val="nil"/>
              <w:bottom w:val="nil"/>
              <w:right w:val="nil"/>
            </w:tcBorders>
            <w:shd w:val="clear" w:color="auto" w:fill="auto"/>
            <w:vAlign w:val="center"/>
            <w:hideMark/>
          </w:tcPr>
          <w:p w14:paraId="4A924E00"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3" w:type="dxa"/>
            <w:tcBorders>
              <w:top w:val="nil"/>
              <w:left w:val="nil"/>
              <w:bottom w:val="nil"/>
              <w:right w:val="nil"/>
            </w:tcBorders>
            <w:shd w:val="clear" w:color="auto" w:fill="auto"/>
            <w:vAlign w:val="center"/>
            <w:hideMark/>
          </w:tcPr>
          <w:p w14:paraId="69C73FF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gridSpan w:val="2"/>
            <w:tcBorders>
              <w:top w:val="nil"/>
              <w:left w:val="nil"/>
              <w:bottom w:val="nil"/>
              <w:right w:val="nil"/>
            </w:tcBorders>
            <w:shd w:val="clear" w:color="auto" w:fill="auto"/>
            <w:vAlign w:val="center"/>
            <w:hideMark/>
          </w:tcPr>
          <w:p w14:paraId="1BED20F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850" w:type="dxa"/>
            <w:tcBorders>
              <w:top w:val="nil"/>
              <w:left w:val="nil"/>
              <w:bottom w:val="nil"/>
              <w:right w:val="nil"/>
            </w:tcBorders>
            <w:shd w:val="clear" w:color="auto" w:fill="auto"/>
            <w:vAlign w:val="center"/>
            <w:hideMark/>
          </w:tcPr>
          <w:p w14:paraId="7316C62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29,037</w:t>
            </w:r>
          </w:p>
        </w:tc>
      </w:tr>
      <w:tr w:rsidR="00DA54F3" w:rsidRPr="001B02FE" w14:paraId="02534885" w14:textId="77777777" w:rsidTr="00A535DB">
        <w:trPr>
          <w:trHeight w:val="571"/>
        </w:trPr>
        <w:tc>
          <w:tcPr>
            <w:tcW w:w="1843" w:type="dxa"/>
            <w:tcBorders>
              <w:top w:val="nil"/>
              <w:left w:val="nil"/>
              <w:bottom w:val="nil"/>
              <w:right w:val="nil"/>
            </w:tcBorders>
            <w:shd w:val="clear" w:color="auto" w:fill="auto"/>
            <w:vAlign w:val="center"/>
            <w:hideMark/>
          </w:tcPr>
          <w:p w14:paraId="3FA6BEA2"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Calibri" w:cstheme="minorHAnsi"/>
                <w:color w:val="000000"/>
                <w:sz w:val="20"/>
                <w:szCs w:val="20"/>
                <w:lang w:eastAsia="en-GB"/>
              </w:rPr>
              <w:t>Transaction costs of placing</w:t>
            </w:r>
          </w:p>
        </w:tc>
        <w:tc>
          <w:tcPr>
            <w:tcW w:w="851" w:type="dxa"/>
            <w:tcBorders>
              <w:top w:val="nil"/>
              <w:left w:val="nil"/>
              <w:bottom w:val="nil"/>
              <w:right w:val="nil"/>
            </w:tcBorders>
            <w:shd w:val="clear" w:color="auto" w:fill="auto"/>
            <w:vAlign w:val="center"/>
            <w:hideMark/>
          </w:tcPr>
          <w:p w14:paraId="7AEC33C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tcBorders>
              <w:top w:val="nil"/>
              <w:left w:val="nil"/>
              <w:bottom w:val="nil"/>
              <w:right w:val="nil"/>
            </w:tcBorders>
            <w:shd w:val="clear" w:color="auto" w:fill="auto"/>
            <w:vAlign w:val="center"/>
            <w:hideMark/>
          </w:tcPr>
          <w:p w14:paraId="528C2F57"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(1,357)</w:t>
            </w:r>
          </w:p>
        </w:tc>
        <w:tc>
          <w:tcPr>
            <w:tcW w:w="1078" w:type="dxa"/>
            <w:gridSpan w:val="3"/>
            <w:tcBorders>
              <w:top w:val="nil"/>
              <w:left w:val="nil"/>
              <w:bottom w:val="nil"/>
              <w:right w:val="nil"/>
            </w:tcBorders>
            <w:shd w:val="clear" w:color="auto" w:fill="auto"/>
            <w:vAlign w:val="center"/>
            <w:hideMark/>
          </w:tcPr>
          <w:p w14:paraId="6700FDC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06" w:type="dxa"/>
            <w:gridSpan w:val="2"/>
            <w:tcBorders>
              <w:top w:val="nil"/>
              <w:left w:val="nil"/>
              <w:bottom w:val="nil"/>
              <w:right w:val="nil"/>
            </w:tcBorders>
            <w:shd w:val="clear" w:color="auto" w:fill="auto"/>
            <w:vAlign w:val="center"/>
            <w:hideMark/>
          </w:tcPr>
          <w:p w14:paraId="2C14F86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134" w:type="dxa"/>
            <w:gridSpan w:val="2"/>
            <w:tcBorders>
              <w:top w:val="nil"/>
              <w:left w:val="nil"/>
              <w:bottom w:val="nil"/>
              <w:right w:val="nil"/>
            </w:tcBorders>
            <w:shd w:val="clear" w:color="auto" w:fill="auto"/>
            <w:vAlign w:val="center"/>
            <w:hideMark/>
          </w:tcPr>
          <w:p w14:paraId="3B8ABFA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3" w:type="dxa"/>
            <w:tcBorders>
              <w:top w:val="nil"/>
              <w:left w:val="nil"/>
              <w:bottom w:val="nil"/>
              <w:right w:val="nil"/>
            </w:tcBorders>
            <w:shd w:val="clear" w:color="auto" w:fill="auto"/>
            <w:vAlign w:val="center"/>
            <w:hideMark/>
          </w:tcPr>
          <w:p w14:paraId="54E7CFB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gridSpan w:val="2"/>
            <w:tcBorders>
              <w:top w:val="nil"/>
              <w:left w:val="nil"/>
              <w:bottom w:val="nil"/>
              <w:right w:val="nil"/>
            </w:tcBorders>
            <w:shd w:val="clear" w:color="auto" w:fill="auto"/>
            <w:vAlign w:val="center"/>
            <w:hideMark/>
          </w:tcPr>
          <w:p w14:paraId="5C17D1E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850" w:type="dxa"/>
            <w:tcBorders>
              <w:top w:val="nil"/>
              <w:left w:val="nil"/>
              <w:bottom w:val="nil"/>
              <w:right w:val="nil"/>
            </w:tcBorders>
            <w:shd w:val="clear" w:color="auto" w:fill="auto"/>
            <w:vAlign w:val="center"/>
            <w:hideMark/>
          </w:tcPr>
          <w:p w14:paraId="18DD7161"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(1,357)</w:t>
            </w:r>
          </w:p>
        </w:tc>
      </w:tr>
      <w:tr w:rsidR="00DA54F3" w:rsidRPr="001B02FE" w14:paraId="744A7514" w14:textId="77777777" w:rsidTr="00A535DB">
        <w:trPr>
          <w:trHeight w:val="864"/>
        </w:trPr>
        <w:tc>
          <w:tcPr>
            <w:tcW w:w="1843" w:type="dxa"/>
            <w:tcBorders>
              <w:top w:val="nil"/>
              <w:left w:val="nil"/>
              <w:bottom w:val="nil"/>
              <w:right w:val="nil"/>
            </w:tcBorders>
            <w:shd w:val="clear" w:color="auto" w:fill="auto"/>
            <w:vAlign w:val="center"/>
            <w:hideMark/>
          </w:tcPr>
          <w:p w14:paraId="5011C539" w14:textId="77777777" w:rsidR="00DA54F3" w:rsidRPr="001B02FE" w:rsidRDefault="00DA54F3" w:rsidP="00A535DB">
            <w:pPr>
              <w:spacing w:after="0" w:line="240" w:lineRule="auto"/>
              <w:ind w:firstLineChars="100" w:firstLine="200"/>
              <w:rPr>
                <w:rFonts w:eastAsia="Times New Roman" w:cstheme="minorHAnsi"/>
                <w:color w:val="000000"/>
                <w:sz w:val="20"/>
                <w:szCs w:val="20"/>
                <w:lang w:eastAsia="en-GB"/>
              </w:rPr>
            </w:pPr>
            <w:r w:rsidRPr="001B02FE">
              <w:rPr>
                <w:rFonts w:eastAsia="Tahoma" w:cstheme="minorHAnsi"/>
                <w:color w:val="000000"/>
                <w:sz w:val="20"/>
                <w:szCs w:val="20"/>
                <w:lang w:eastAsia="en-GB"/>
              </w:rPr>
              <w:t>-   Consideration shares issued on acquisition of PhD</w:t>
            </w:r>
          </w:p>
        </w:tc>
        <w:tc>
          <w:tcPr>
            <w:tcW w:w="851" w:type="dxa"/>
            <w:tcBorders>
              <w:top w:val="nil"/>
              <w:left w:val="nil"/>
              <w:bottom w:val="nil"/>
              <w:right w:val="nil"/>
            </w:tcBorders>
            <w:shd w:val="clear" w:color="auto" w:fill="auto"/>
            <w:vAlign w:val="center"/>
            <w:hideMark/>
          </w:tcPr>
          <w:p w14:paraId="54C7EA4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583</w:t>
            </w:r>
          </w:p>
        </w:tc>
        <w:tc>
          <w:tcPr>
            <w:tcW w:w="992" w:type="dxa"/>
            <w:tcBorders>
              <w:top w:val="nil"/>
              <w:left w:val="nil"/>
              <w:bottom w:val="nil"/>
              <w:right w:val="nil"/>
            </w:tcBorders>
            <w:shd w:val="clear" w:color="auto" w:fill="auto"/>
            <w:vAlign w:val="center"/>
            <w:hideMark/>
          </w:tcPr>
          <w:p w14:paraId="1474B7F0"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2,917</w:t>
            </w:r>
          </w:p>
        </w:tc>
        <w:tc>
          <w:tcPr>
            <w:tcW w:w="1078" w:type="dxa"/>
            <w:gridSpan w:val="3"/>
            <w:tcBorders>
              <w:top w:val="nil"/>
              <w:left w:val="nil"/>
              <w:bottom w:val="nil"/>
              <w:right w:val="nil"/>
            </w:tcBorders>
            <w:shd w:val="clear" w:color="auto" w:fill="auto"/>
            <w:vAlign w:val="center"/>
            <w:hideMark/>
          </w:tcPr>
          <w:p w14:paraId="5CC1207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06" w:type="dxa"/>
            <w:gridSpan w:val="2"/>
            <w:tcBorders>
              <w:top w:val="nil"/>
              <w:left w:val="nil"/>
              <w:bottom w:val="nil"/>
              <w:right w:val="nil"/>
            </w:tcBorders>
            <w:shd w:val="clear" w:color="auto" w:fill="auto"/>
            <w:vAlign w:val="center"/>
            <w:hideMark/>
          </w:tcPr>
          <w:p w14:paraId="7808655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134" w:type="dxa"/>
            <w:gridSpan w:val="2"/>
            <w:tcBorders>
              <w:top w:val="nil"/>
              <w:left w:val="nil"/>
              <w:bottom w:val="nil"/>
              <w:right w:val="nil"/>
            </w:tcBorders>
            <w:shd w:val="clear" w:color="auto" w:fill="auto"/>
            <w:vAlign w:val="center"/>
            <w:hideMark/>
          </w:tcPr>
          <w:p w14:paraId="752516E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3" w:type="dxa"/>
            <w:tcBorders>
              <w:top w:val="nil"/>
              <w:left w:val="nil"/>
              <w:bottom w:val="nil"/>
              <w:right w:val="nil"/>
            </w:tcBorders>
            <w:shd w:val="clear" w:color="auto" w:fill="auto"/>
            <w:vAlign w:val="center"/>
            <w:hideMark/>
          </w:tcPr>
          <w:p w14:paraId="2AEC29E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gridSpan w:val="2"/>
            <w:tcBorders>
              <w:top w:val="nil"/>
              <w:left w:val="nil"/>
              <w:bottom w:val="nil"/>
              <w:right w:val="nil"/>
            </w:tcBorders>
            <w:shd w:val="clear" w:color="auto" w:fill="auto"/>
            <w:vAlign w:val="center"/>
            <w:hideMark/>
          </w:tcPr>
          <w:p w14:paraId="4111681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850" w:type="dxa"/>
            <w:tcBorders>
              <w:top w:val="nil"/>
              <w:left w:val="nil"/>
              <w:bottom w:val="nil"/>
              <w:right w:val="nil"/>
            </w:tcBorders>
            <w:shd w:val="clear" w:color="auto" w:fill="auto"/>
            <w:vAlign w:val="center"/>
            <w:hideMark/>
          </w:tcPr>
          <w:p w14:paraId="53D382B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3,500</w:t>
            </w:r>
          </w:p>
        </w:tc>
      </w:tr>
      <w:tr w:rsidR="00DA54F3" w:rsidRPr="001B02FE" w14:paraId="54464858" w14:textId="77777777" w:rsidTr="00A535DB">
        <w:trPr>
          <w:trHeight w:val="478"/>
        </w:trPr>
        <w:tc>
          <w:tcPr>
            <w:tcW w:w="1843" w:type="dxa"/>
            <w:tcBorders>
              <w:top w:val="nil"/>
              <w:left w:val="nil"/>
              <w:bottom w:val="nil"/>
              <w:right w:val="nil"/>
            </w:tcBorders>
            <w:shd w:val="clear" w:color="auto" w:fill="auto"/>
            <w:vAlign w:val="center"/>
            <w:hideMark/>
          </w:tcPr>
          <w:p w14:paraId="677A6EDC"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Calibri" w:cstheme="minorHAnsi"/>
                <w:color w:val="000000"/>
                <w:sz w:val="20"/>
                <w:szCs w:val="20"/>
                <w:lang w:eastAsia="en-GB"/>
              </w:rPr>
              <w:t>Issue of shares to EBT</w:t>
            </w:r>
          </w:p>
        </w:tc>
        <w:tc>
          <w:tcPr>
            <w:tcW w:w="851" w:type="dxa"/>
            <w:tcBorders>
              <w:top w:val="nil"/>
              <w:left w:val="nil"/>
              <w:bottom w:val="nil"/>
              <w:right w:val="nil"/>
            </w:tcBorders>
            <w:shd w:val="clear" w:color="auto" w:fill="auto"/>
            <w:vAlign w:val="center"/>
            <w:hideMark/>
          </w:tcPr>
          <w:p w14:paraId="5EFBCBA8"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34</w:t>
            </w:r>
          </w:p>
        </w:tc>
        <w:tc>
          <w:tcPr>
            <w:tcW w:w="992" w:type="dxa"/>
            <w:tcBorders>
              <w:top w:val="nil"/>
              <w:left w:val="nil"/>
              <w:bottom w:val="nil"/>
              <w:right w:val="nil"/>
            </w:tcBorders>
            <w:shd w:val="clear" w:color="auto" w:fill="auto"/>
            <w:vAlign w:val="center"/>
            <w:hideMark/>
          </w:tcPr>
          <w:p w14:paraId="7CC0CEC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078" w:type="dxa"/>
            <w:gridSpan w:val="3"/>
            <w:tcBorders>
              <w:top w:val="nil"/>
              <w:left w:val="nil"/>
              <w:bottom w:val="nil"/>
              <w:right w:val="nil"/>
            </w:tcBorders>
            <w:shd w:val="clear" w:color="auto" w:fill="auto"/>
            <w:vAlign w:val="center"/>
            <w:hideMark/>
          </w:tcPr>
          <w:p w14:paraId="0BC9DE4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(34)</w:t>
            </w:r>
          </w:p>
        </w:tc>
        <w:tc>
          <w:tcPr>
            <w:tcW w:w="906" w:type="dxa"/>
            <w:gridSpan w:val="2"/>
            <w:tcBorders>
              <w:top w:val="nil"/>
              <w:left w:val="nil"/>
              <w:bottom w:val="nil"/>
              <w:right w:val="nil"/>
            </w:tcBorders>
            <w:shd w:val="clear" w:color="auto" w:fill="auto"/>
            <w:vAlign w:val="center"/>
            <w:hideMark/>
          </w:tcPr>
          <w:p w14:paraId="5A61C507"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134" w:type="dxa"/>
            <w:gridSpan w:val="2"/>
            <w:tcBorders>
              <w:top w:val="nil"/>
              <w:left w:val="nil"/>
              <w:bottom w:val="nil"/>
              <w:right w:val="nil"/>
            </w:tcBorders>
            <w:shd w:val="clear" w:color="auto" w:fill="auto"/>
            <w:vAlign w:val="center"/>
            <w:hideMark/>
          </w:tcPr>
          <w:p w14:paraId="73D078F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3" w:type="dxa"/>
            <w:tcBorders>
              <w:top w:val="nil"/>
              <w:left w:val="nil"/>
              <w:bottom w:val="nil"/>
              <w:right w:val="nil"/>
            </w:tcBorders>
            <w:shd w:val="clear" w:color="auto" w:fill="auto"/>
            <w:vAlign w:val="center"/>
            <w:hideMark/>
          </w:tcPr>
          <w:p w14:paraId="1FBD198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gridSpan w:val="2"/>
            <w:tcBorders>
              <w:top w:val="nil"/>
              <w:left w:val="nil"/>
              <w:bottom w:val="nil"/>
              <w:right w:val="nil"/>
            </w:tcBorders>
            <w:shd w:val="clear" w:color="auto" w:fill="auto"/>
            <w:vAlign w:val="center"/>
            <w:hideMark/>
          </w:tcPr>
          <w:p w14:paraId="348A529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850" w:type="dxa"/>
            <w:tcBorders>
              <w:top w:val="nil"/>
              <w:left w:val="nil"/>
              <w:bottom w:val="nil"/>
              <w:right w:val="nil"/>
            </w:tcBorders>
            <w:shd w:val="clear" w:color="auto" w:fill="auto"/>
            <w:vAlign w:val="center"/>
            <w:hideMark/>
          </w:tcPr>
          <w:p w14:paraId="398F94A5"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r>
      <w:tr w:rsidR="00DA54F3" w:rsidRPr="001B02FE" w14:paraId="365EE3C7" w14:textId="77777777" w:rsidTr="00A535DB">
        <w:trPr>
          <w:trHeight w:val="571"/>
        </w:trPr>
        <w:tc>
          <w:tcPr>
            <w:tcW w:w="1843" w:type="dxa"/>
            <w:tcBorders>
              <w:top w:val="nil"/>
              <w:left w:val="nil"/>
              <w:bottom w:val="nil"/>
              <w:right w:val="nil"/>
            </w:tcBorders>
            <w:shd w:val="clear" w:color="auto" w:fill="auto"/>
            <w:vAlign w:val="center"/>
            <w:hideMark/>
          </w:tcPr>
          <w:p w14:paraId="27523FF9"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Calibri" w:cstheme="minorHAnsi"/>
                <w:color w:val="000000"/>
                <w:sz w:val="20"/>
                <w:szCs w:val="20"/>
                <w:lang w:eastAsia="en-GB"/>
              </w:rPr>
              <w:t>Issue of shares held by EBT to employees</w:t>
            </w:r>
          </w:p>
        </w:tc>
        <w:tc>
          <w:tcPr>
            <w:tcW w:w="851" w:type="dxa"/>
            <w:tcBorders>
              <w:top w:val="nil"/>
              <w:left w:val="nil"/>
              <w:bottom w:val="nil"/>
              <w:right w:val="nil"/>
            </w:tcBorders>
            <w:shd w:val="clear" w:color="auto" w:fill="auto"/>
            <w:vAlign w:val="center"/>
            <w:hideMark/>
          </w:tcPr>
          <w:p w14:paraId="196CEB6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tcBorders>
              <w:top w:val="nil"/>
              <w:left w:val="nil"/>
              <w:bottom w:val="nil"/>
              <w:right w:val="nil"/>
            </w:tcBorders>
            <w:shd w:val="clear" w:color="auto" w:fill="auto"/>
            <w:vAlign w:val="center"/>
            <w:hideMark/>
          </w:tcPr>
          <w:p w14:paraId="0290A8B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078" w:type="dxa"/>
            <w:gridSpan w:val="3"/>
            <w:tcBorders>
              <w:top w:val="nil"/>
              <w:left w:val="nil"/>
              <w:bottom w:val="nil"/>
              <w:right w:val="nil"/>
            </w:tcBorders>
            <w:shd w:val="clear" w:color="auto" w:fill="auto"/>
            <w:vAlign w:val="center"/>
            <w:hideMark/>
          </w:tcPr>
          <w:p w14:paraId="02A622F8"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59</w:t>
            </w:r>
          </w:p>
        </w:tc>
        <w:tc>
          <w:tcPr>
            <w:tcW w:w="906" w:type="dxa"/>
            <w:gridSpan w:val="2"/>
            <w:tcBorders>
              <w:top w:val="nil"/>
              <w:left w:val="nil"/>
              <w:bottom w:val="nil"/>
              <w:right w:val="nil"/>
            </w:tcBorders>
            <w:shd w:val="clear" w:color="auto" w:fill="auto"/>
            <w:vAlign w:val="center"/>
            <w:hideMark/>
          </w:tcPr>
          <w:p w14:paraId="3A984270"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134" w:type="dxa"/>
            <w:gridSpan w:val="2"/>
            <w:tcBorders>
              <w:top w:val="nil"/>
              <w:left w:val="nil"/>
              <w:bottom w:val="nil"/>
              <w:right w:val="nil"/>
            </w:tcBorders>
            <w:shd w:val="clear" w:color="auto" w:fill="auto"/>
            <w:vAlign w:val="center"/>
            <w:hideMark/>
          </w:tcPr>
          <w:p w14:paraId="7E3991F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3" w:type="dxa"/>
            <w:tcBorders>
              <w:top w:val="nil"/>
              <w:left w:val="nil"/>
              <w:bottom w:val="nil"/>
              <w:right w:val="nil"/>
            </w:tcBorders>
            <w:shd w:val="clear" w:color="auto" w:fill="auto"/>
            <w:vAlign w:val="center"/>
            <w:hideMark/>
          </w:tcPr>
          <w:p w14:paraId="01A13CF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gridSpan w:val="2"/>
            <w:tcBorders>
              <w:top w:val="nil"/>
              <w:left w:val="nil"/>
              <w:bottom w:val="nil"/>
              <w:right w:val="nil"/>
            </w:tcBorders>
            <w:shd w:val="clear" w:color="auto" w:fill="auto"/>
            <w:vAlign w:val="center"/>
            <w:hideMark/>
          </w:tcPr>
          <w:p w14:paraId="21ABDAC5"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(59)</w:t>
            </w:r>
          </w:p>
        </w:tc>
        <w:tc>
          <w:tcPr>
            <w:tcW w:w="850" w:type="dxa"/>
            <w:tcBorders>
              <w:top w:val="nil"/>
              <w:left w:val="nil"/>
              <w:bottom w:val="nil"/>
              <w:right w:val="nil"/>
            </w:tcBorders>
            <w:shd w:val="clear" w:color="auto" w:fill="auto"/>
            <w:vAlign w:val="center"/>
            <w:hideMark/>
          </w:tcPr>
          <w:p w14:paraId="58F47CA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r>
      <w:tr w:rsidR="00DA54F3" w:rsidRPr="001B02FE" w14:paraId="6DB7B2FE" w14:textId="77777777" w:rsidTr="00A535DB">
        <w:trPr>
          <w:trHeight w:val="398"/>
        </w:trPr>
        <w:tc>
          <w:tcPr>
            <w:tcW w:w="1843" w:type="dxa"/>
            <w:tcBorders>
              <w:top w:val="nil"/>
              <w:left w:val="nil"/>
              <w:bottom w:val="nil"/>
              <w:right w:val="nil"/>
            </w:tcBorders>
            <w:shd w:val="clear" w:color="auto" w:fill="auto"/>
            <w:vAlign w:val="center"/>
            <w:hideMark/>
          </w:tcPr>
          <w:p w14:paraId="71552800"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Calibri" w:cstheme="minorHAnsi"/>
                <w:color w:val="000000"/>
                <w:sz w:val="20"/>
                <w:szCs w:val="20"/>
                <w:lang w:eastAsia="en-GB"/>
              </w:rPr>
              <w:t>Share based payments</w:t>
            </w:r>
          </w:p>
        </w:tc>
        <w:tc>
          <w:tcPr>
            <w:tcW w:w="851" w:type="dxa"/>
            <w:tcBorders>
              <w:top w:val="nil"/>
              <w:left w:val="nil"/>
              <w:bottom w:val="nil"/>
              <w:right w:val="nil"/>
            </w:tcBorders>
            <w:shd w:val="clear" w:color="auto" w:fill="auto"/>
            <w:vAlign w:val="center"/>
            <w:hideMark/>
          </w:tcPr>
          <w:p w14:paraId="6AEC789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tcBorders>
              <w:top w:val="nil"/>
              <w:left w:val="nil"/>
              <w:bottom w:val="nil"/>
              <w:right w:val="nil"/>
            </w:tcBorders>
            <w:shd w:val="clear" w:color="auto" w:fill="auto"/>
            <w:vAlign w:val="center"/>
            <w:hideMark/>
          </w:tcPr>
          <w:p w14:paraId="0CDC1F8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078" w:type="dxa"/>
            <w:gridSpan w:val="3"/>
            <w:tcBorders>
              <w:top w:val="nil"/>
              <w:left w:val="nil"/>
              <w:bottom w:val="nil"/>
              <w:right w:val="nil"/>
            </w:tcBorders>
            <w:shd w:val="clear" w:color="auto" w:fill="auto"/>
            <w:vAlign w:val="center"/>
            <w:hideMark/>
          </w:tcPr>
          <w:p w14:paraId="73B2B86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06" w:type="dxa"/>
            <w:gridSpan w:val="2"/>
            <w:tcBorders>
              <w:top w:val="nil"/>
              <w:left w:val="nil"/>
              <w:bottom w:val="nil"/>
              <w:right w:val="nil"/>
            </w:tcBorders>
            <w:shd w:val="clear" w:color="auto" w:fill="auto"/>
            <w:vAlign w:val="center"/>
            <w:hideMark/>
          </w:tcPr>
          <w:p w14:paraId="2A58A43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134" w:type="dxa"/>
            <w:gridSpan w:val="2"/>
            <w:tcBorders>
              <w:top w:val="nil"/>
              <w:left w:val="nil"/>
              <w:bottom w:val="nil"/>
              <w:right w:val="nil"/>
            </w:tcBorders>
            <w:shd w:val="clear" w:color="auto" w:fill="auto"/>
            <w:vAlign w:val="center"/>
            <w:hideMark/>
          </w:tcPr>
          <w:p w14:paraId="25A02AA5"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3" w:type="dxa"/>
            <w:tcBorders>
              <w:top w:val="nil"/>
              <w:left w:val="nil"/>
              <w:bottom w:val="nil"/>
              <w:right w:val="nil"/>
            </w:tcBorders>
            <w:shd w:val="clear" w:color="auto" w:fill="auto"/>
            <w:vAlign w:val="center"/>
            <w:hideMark/>
          </w:tcPr>
          <w:p w14:paraId="0C90C7E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gridSpan w:val="2"/>
            <w:tcBorders>
              <w:top w:val="nil"/>
              <w:left w:val="nil"/>
              <w:bottom w:val="nil"/>
              <w:right w:val="nil"/>
            </w:tcBorders>
            <w:shd w:val="clear" w:color="auto" w:fill="auto"/>
            <w:vAlign w:val="center"/>
            <w:hideMark/>
          </w:tcPr>
          <w:p w14:paraId="29526341"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1,404</w:t>
            </w:r>
          </w:p>
        </w:tc>
        <w:tc>
          <w:tcPr>
            <w:tcW w:w="850" w:type="dxa"/>
            <w:tcBorders>
              <w:top w:val="nil"/>
              <w:left w:val="nil"/>
              <w:bottom w:val="nil"/>
              <w:right w:val="nil"/>
            </w:tcBorders>
            <w:shd w:val="clear" w:color="auto" w:fill="auto"/>
            <w:vAlign w:val="center"/>
            <w:hideMark/>
          </w:tcPr>
          <w:p w14:paraId="58B6892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1,404</w:t>
            </w:r>
          </w:p>
        </w:tc>
      </w:tr>
      <w:tr w:rsidR="00DA54F3" w:rsidRPr="001B02FE" w14:paraId="2E7CD08A" w14:textId="77777777" w:rsidTr="00A535DB">
        <w:trPr>
          <w:trHeight w:val="279"/>
        </w:trPr>
        <w:tc>
          <w:tcPr>
            <w:tcW w:w="1843" w:type="dxa"/>
            <w:tcBorders>
              <w:top w:val="nil"/>
              <w:left w:val="nil"/>
              <w:bottom w:val="single" w:sz="8" w:space="0" w:color="auto"/>
              <w:right w:val="nil"/>
            </w:tcBorders>
            <w:shd w:val="clear" w:color="auto" w:fill="auto"/>
            <w:vAlign w:val="center"/>
            <w:hideMark/>
          </w:tcPr>
          <w:p w14:paraId="3B5AABB7"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Calibri" w:cstheme="minorHAnsi"/>
                <w:color w:val="000000"/>
                <w:sz w:val="20"/>
                <w:szCs w:val="20"/>
                <w:lang w:eastAsia="en-GB"/>
              </w:rPr>
              <w:t> </w:t>
            </w:r>
          </w:p>
        </w:tc>
        <w:tc>
          <w:tcPr>
            <w:tcW w:w="851" w:type="dxa"/>
            <w:tcBorders>
              <w:top w:val="nil"/>
              <w:left w:val="nil"/>
              <w:bottom w:val="single" w:sz="8" w:space="0" w:color="auto"/>
              <w:right w:val="nil"/>
            </w:tcBorders>
            <w:shd w:val="clear" w:color="auto" w:fill="auto"/>
            <w:vAlign w:val="center"/>
            <w:hideMark/>
          </w:tcPr>
          <w:p w14:paraId="207A659F"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992" w:type="dxa"/>
            <w:tcBorders>
              <w:top w:val="nil"/>
              <w:left w:val="nil"/>
              <w:bottom w:val="single" w:sz="8" w:space="0" w:color="auto"/>
              <w:right w:val="nil"/>
            </w:tcBorders>
            <w:shd w:val="clear" w:color="auto" w:fill="auto"/>
            <w:vAlign w:val="center"/>
            <w:hideMark/>
          </w:tcPr>
          <w:p w14:paraId="12994BF2"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1078" w:type="dxa"/>
            <w:gridSpan w:val="3"/>
            <w:tcBorders>
              <w:top w:val="nil"/>
              <w:left w:val="nil"/>
              <w:bottom w:val="single" w:sz="8" w:space="0" w:color="auto"/>
              <w:right w:val="nil"/>
            </w:tcBorders>
            <w:shd w:val="clear" w:color="auto" w:fill="auto"/>
            <w:vAlign w:val="center"/>
            <w:hideMark/>
          </w:tcPr>
          <w:p w14:paraId="1E034BD2"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906" w:type="dxa"/>
            <w:gridSpan w:val="2"/>
            <w:tcBorders>
              <w:top w:val="nil"/>
              <w:left w:val="nil"/>
              <w:bottom w:val="single" w:sz="8" w:space="0" w:color="auto"/>
              <w:right w:val="nil"/>
            </w:tcBorders>
            <w:shd w:val="clear" w:color="auto" w:fill="auto"/>
            <w:vAlign w:val="center"/>
            <w:hideMark/>
          </w:tcPr>
          <w:p w14:paraId="7F808702"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1134" w:type="dxa"/>
            <w:gridSpan w:val="2"/>
            <w:tcBorders>
              <w:top w:val="nil"/>
              <w:left w:val="nil"/>
              <w:bottom w:val="single" w:sz="8" w:space="0" w:color="auto"/>
              <w:right w:val="nil"/>
            </w:tcBorders>
            <w:shd w:val="clear" w:color="auto" w:fill="auto"/>
            <w:vAlign w:val="center"/>
            <w:hideMark/>
          </w:tcPr>
          <w:p w14:paraId="00C86220"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993" w:type="dxa"/>
            <w:tcBorders>
              <w:top w:val="nil"/>
              <w:left w:val="nil"/>
              <w:bottom w:val="single" w:sz="8" w:space="0" w:color="auto"/>
              <w:right w:val="nil"/>
            </w:tcBorders>
            <w:shd w:val="clear" w:color="auto" w:fill="auto"/>
            <w:vAlign w:val="center"/>
            <w:hideMark/>
          </w:tcPr>
          <w:p w14:paraId="2269059F"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p>
        </w:tc>
        <w:tc>
          <w:tcPr>
            <w:tcW w:w="850" w:type="dxa"/>
            <w:tcBorders>
              <w:top w:val="nil"/>
              <w:left w:val="nil"/>
              <w:bottom w:val="single" w:sz="8" w:space="0" w:color="auto"/>
              <w:right w:val="nil"/>
            </w:tcBorders>
            <w:shd w:val="clear" w:color="auto" w:fill="auto"/>
            <w:vAlign w:val="center"/>
            <w:hideMark/>
          </w:tcPr>
          <w:p w14:paraId="32096DBF"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992" w:type="dxa"/>
            <w:gridSpan w:val="2"/>
            <w:tcBorders>
              <w:top w:val="nil"/>
              <w:left w:val="nil"/>
              <w:bottom w:val="single" w:sz="8" w:space="0" w:color="auto"/>
              <w:right w:val="nil"/>
            </w:tcBorders>
            <w:shd w:val="clear" w:color="auto" w:fill="auto"/>
            <w:vAlign w:val="center"/>
            <w:hideMark/>
          </w:tcPr>
          <w:p w14:paraId="2EC3F438"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r>
      <w:tr w:rsidR="00DA54F3" w:rsidRPr="001B02FE" w14:paraId="11E5839E" w14:textId="77777777" w:rsidTr="00A535DB">
        <w:trPr>
          <w:trHeight w:hRule="exact" w:val="651"/>
        </w:trPr>
        <w:tc>
          <w:tcPr>
            <w:tcW w:w="1843" w:type="dxa"/>
            <w:tcBorders>
              <w:top w:val="nil"/>
              <w:left w:val="nil"/>
              <w:bottom w:val="single" w:sz="8" w:space="0" w:color="auto"/>
              <w:right w:val="nil"/>
            </w:tcBorders>
            <w:shd w:val="clear" w:color="auto" w:fill="auto"/>
            <w:vAlign w:val="center"/>
            <w:hideMark/>
          </w:tcPr>
          <w:p w14:paraId="05590535" w14:textId="77777777" w:rsidR="00DA54F3" w:rsidRPr="001B02FE" w:rsidRDefault="00DA54F3" w:rsidP="00A535DB">
            <w:pPr>
              <w:spacing w:after="0" w:line="240" w:lineRule="auto"/>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At 31 December 2018</w:t>
            </w:r>
          </w:p>
        </w:tc>
        <w:tc>
          <w:tcPr>
            <w:tcW w:w="851" w:type="dxa"/>
            <w:tcBorders>
              <w:top w:val="nil"/>
              <w:left w:val="nil"/>
              <w:bottom w:val="single" w:sz="8" w:space="0" w:color="auto"/>
              <w:right w:val="nil"/>
            </w:tcBorders>
            <w:shd w:val="clear" w:color="auto" w:fill="auto"/>
            <w:vAlign w:val="center"/>
            <w:hideMark/>
          </w:tcPr>
          <w:p w14:paraId="43296D86"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12,197</w:t>
            </w:r>
          </w:p>
        </w:tc>
        <w:tc>
          <w:tcPr>
            <w:tcW w:w="992" w:type="dxa"/>
            <w:tcBorders>
              <w:top w:val="nil"/>
              <w:left w:val="nil"/>
              <w:bottom w:val="single" w:sz="8" w:space="0" w:color="auto"/>
              <w:right w:val="nil"/>
            </w:tcBorders>
            <w:shd w:val="clear" w:color="auto" w:fill="auto"/>
            <w:vAlign w:val="center"/>
            <w:hideMark/>
          </w:tcPr>
          <w:p w14:paraId="275B96C5"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48,464</w:t>
            </w:r>
          </w:p>
        </w:tc>
        <w:tc>
          <w:tcPr>
            <w:tcW w:w="1078" w:type="dxa"/>
            <w:gridSpan w:val="3"/>
            <w:tcBorders>
              <w:top w:val="nil"/>
              <w:left w:val="nil"/>
              <w:bottom w:val="single" w:sz="8" w:space="0" w:color="auto"/>
              <w:right w:val="nil"/>
            </w:tcBorders>
            <w:shd w:val="clear" w:color="auto" w:fill="auto"/>
            <w:vAlign w:val="center"/>
            <w:hideMark/>
          </w:tcPr>
          <w:p w14:paraId="7FB3C0B4"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(372)</w:t>
            </w:r>
          </w:p>
        </w:tc>
        <w:tc>
          <w:tcPr>
            <w:tcW w:w="906" w:type="dxa"/>
            <w:gridSpan w:val="2"/>
            <w:tcBorders>
              <w:top w:val="nil"/>
              <w:left w:val="nil"/>
              <w:bottom w:val="single" w:sz="8" w:space="0" w:color="auto"/>
              <w:right w:val="nil"/>
            </w:tcBorders>
            <w:shd w:val="clear" w:color="auto" w:fill="auto"/>
            <w:vAlign w:val="center"/>
            <w:hideMark/>
          </w:tcPr>
          <w:p w14:paraId="2DF4C1FD"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(907)</w:t>
            </w:r>
          </w:p>
        </w:tc>
        <w:tc>
          <w:tcPr>
            <w:tcW w:w="852" w:type="dxa"/>
            <w:tcBorders>
              <w:top w:val="nil"/>
              <w:left w:val="nil"/>
              <w:bottom w:val="single" w:sz="8" w:space="0" w:color="auto"/>
              <w:right w:val="nil"/>
            </w:tcBorders>
            <w:shd w:val="clear" w:color="auto" w:fill="auto"/>
            <w:vAlign w:val="center"/>
            <w:hideMark/>
          </w:tcPr>
          <w:p w14:paraId="21C2BF7C"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(97)</w:t>
            </w:r>
          </w:p>
        </w:tc>
        <w:tc>
          <w:tcPr>
            <w:tcW w:w="1275" w:type="dxa"/>
            <w:gridSpan w:val="2"/>
            <w:tcBorders>
              <w:top w:val="nil"/>
              <w:left w:val="nil"/>
              <w:bottom w:val="single" w:sz="8" w:space="0" w:color="auto"/>
              <w:right w:val="nil"/>
            </w:tcBorders>
            <w:shd w:val="clear" w:color="auto" w:fill="auto"/>
            <w:vAlign w:val="center"/>
            <w:hideMark/>
          </w:tcPr>
          <w:p w14:paraId="4738B0D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color w:val="000000"/>
                <w:sz w:val="20"/>
                <w:szCs w:val="20"/>
                <w:lang w:eastAsia="en-GB"/>
              </w:rPr>
              <w:t>–</w:t>
            </w:r>
          </w:p>
        </w:tc>
        <w:tc>
          <w:tcPr>
            <w:tcW w:w="850" w:type="dxa"/>
            <w:tcBorders>
              <w:top w:val="nil"/>
              <w:left w:val="nil"/>
              <w:bottom w:val="single" w:sz="8" w:space="0" w:color="auto"/>
              <w:right w:val="nil"/>
            </w:tcBorders>
            <w:shd w:val="clear" w:color="auto" w:fill="auto"/>
            <w:vAlign w:val="center"/>
            <w:hideMark/>
          </w:tcPr>
          <w:p w14:paraId="64E51C2B"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(9,468)</w:t>
            </w:r>
          </w:p>
        </w:tc>
        <w:tc>
          <w:tcPr>
            <w:tcW w:w="992" w:type="dxa"/>
            <w:gridSpan w:val="2"/>
            <w:tcBorders>
              <w:top w:val="nil"/>
              <w:left w:val="nil"/>
              <w:bottom w:val="single" w:sz="8" w:space="0" w:color="auto"/>
              <w:right w:val="nil"/>
            </w:tcBorders>
            <w:shd w:val="clear" w:color="auto" w:fill="auto"/>
            <w:vAlign w:val="center"/>
            <w:hideMark/>
          </w:tcPr>
          <w:p w14:paraId="4476855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49,817</w:t>
            </w:r>
          </w:p>
        </w:tc>
      </w:tr>
      <w:tr w:rsidR="00DA54F3" w:rsidRPr="001B02FE" w14:paraId="782A7D19" w14:textId="77777777" w:rsidTr="00A535DB">
        <w:trPr>
          <w:trHeight w:val="265"/>
        </w:trPr>
        <w:tc>
          <w:tcPr>
            <w:tcW w:w="1843" w:type="dxa"/>
            <w:tcBorders>
              <w:top w:val="nil"/>
              <w:left w:val="nil"/>
              <w:bottom w:val="nil"/>
              <w:right w:val="nil"/>
            </w:tcBorders>
            <w:shd w:val="clear" w:color="auto" w:fill="auto"/>
            <w:vAlign w:val="center"/>
            <w:hideMark/>
          </w:tcPr>
          <w:p w14:paraId="2CF6FC4C" w14:textId="77777777" w:rsidR="00DA54F3" w:rsidRPr="001B02FE" w:rsidRDefault="00DA54F3" w:rsidP="00A535DB">
            <w:pPr>
              <w:spacing w:after="0" w:line="240" w:lineRule="auto"/>
              <w:jc w:val="right"/>
              <w:rPr>
                <w:rFonts w:eastAsia="Times New Roman" w:cstheme="minorHAnsi"/>
                <w:b/>
                <w:bCs/>
                <w:color w:val="000000"/>
                <w:sz w:val="20"/>
                <w:szCs w:val="20"/>
                <w:lang w:eastAsia="en-GB"/>
              </w:rPr>
            </w:pPr>
          </w:p>
        </w:tc>
        <w:tc>
          <w:tcPr>
            <w:tcW w:w="851" w:type="dxa"/>
            <w:tcBorders>
              <w:top w:val="nil"/>
              <w:left w:val="nil"/>
              <w:bottom w:val="nil"/>
              <w:right w:val="nil"/>
            </w:tcBorders>
            <w:shd w:val="clear" w:color="auto" w:fill="auto"/>
            <w:vAlign w:val="center"/>
            <w:hideMark/>
          </w:tcPr>
          <w:p w14:paraId="1A39B66B"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92" w:type="dxa"/>
            <w:tcBorders>
              <w:top w:val="nil"/>
              <w:left w:val="nil"/>
              <w:bottom w:val="nil"/>
              <w:right w:val="nil"/>
            </w:tcBorders>
            <w:shd w:val="clear" w:color="auto" w:fill="auto"/>
            <w:vAlign w:val="center"/>
            <w:hideMark/>
          </w:tcPr>
          <w:p w14:paraId="3317F34D"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p>
        </w:tc>
        <w:tc>
          <w:tcPr>
            <w:tcW w:w="1078" w:type="dxa"/>
            <w:gridSpan w:val="3"/>
            <w:tcBorders>
              <w:top w:val="nil"/>
              <w:left w:val="nil"/>
              <w:bottom w:val="nil"/>
              <w:right w:val="nil"/>
            </w:tcBorders>
            <w:shd w:val="clear" w:color="auto" w:fill="auto"/>
            <w:vAlign w:val="center"/>
            <w:hideMark/>
          </w:tcPr>
          <w:p w14:paraId="38DD8EF0"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p>
        </w:tc>
        <w:tc>
          <w:tcPr>
            <w:tcW w:w="906" w:type="dxa"/>
            <w:gridSpan w:val="2"/>
            <w:tcBorders>
              <w:top w:val="nil"/>
              <w:left w:val="nil"/>
              <w:bottom w:val="nil"/>
              <w:right w:val="nil"/>
            </w:tcBorders>
            <w:shd w:val="clear" w:color="auto" w:fill="auto"/>
            <w:vAlign w:val="center"/>
            <w:hideMark/>
          </w:tcPr>
          <w:p w14:paraId="26C16F58"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852" w:type="dxa"/>
            <w:tcBorders>
              <w:top w:val="nil"/>
              <w:left w:val="nil"/>
              <w:bottom w:val="nil"/>
              <w:right w:val="nil"/>
            </w:tcBorders>
            <w:shd w:val="clear" w:color="auto" w:fill="auto"/>
            <w:vAlign w:val="center"/>
            <w:hideMark/>
          </w:tcPr>
          <w:p w14:paraId="65D95ADC"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275" w:type="dxa"/>
            <w:gridSpan w:val="2"/>
            <w:tcBorders>
              <w:top w:val="nil"/>
              <w:left w:val="nil"/>
              <w:bottom w:val="nil"/>
              <w:right w:val="nil"/>
            </w:tcBorders>
            <w:shd w:val="clear" w:color="auto" w:fill="auto"/>
            <w:vAlign w:val="center"/>
            <w:hideMark/>
          </w:tcPr>
          <w:p w14:paraId="5E7F863B"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850" w:type="dxa"/>
            <w:tcBorders>
              <w:top w:val="nil"/>
              <w:left w:val="nil"/>
              <w:bottom w:val="nil"/>
              <w:right w:val="nil"/>
            </w:tcBorders>
            <w:shd w:val="clear" w:color="auto" w:fill="auto"/>
            <w:vAlign w:val="center"/>
            <w:hideMark/>
          </w:tcPr>
          <w:p w14:paraId="5D4D7D3E"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92" w:type="dxa"/>
            <w:gridSpan w:val="2"/>
            <w:tcBorders>
              <w:top w:val="nil"/>
              <w:left w:val="nil"/>
              <w:bottom w:val="nil"/>
              <w:right w:val="nil"/>
            </w:tcBorders>
            <w:shd w:val="clear" w:color="auto" w:fill="auto"/>
            <w:vAlign w:val="center"/>
            <w:hideMark/>
          </w:tcPr>
          <w:p w14:paraId="00CA9E60" w14:textId="77777777" w:rsidR="00DA54F3" w:rsidRPr="001B02FE" w:rsidRDefault="00DA54F3" w:rsidP="00A535DB">
            <w:pPr>
              <w:spacing w:after="0" w:line="240" w:lineRule="auto"/>
              <w:jc w:val="center"/>
              <w:rPr>
                <w:rFonts w:eastAsia="Times New Roman" w:cstheme="minorHAnsi"/>
                <w:sz w:val="20"/>
                <w:szCs w:val="20"/>
                <w:lang w:eastAsia="en-GB"/>
              </w:rPr>
            </w:pPr>
          </w:p>
        </w:tc>
      </w:tr>
      <w:tr w:rsidR="00DA54F3" w:rsidRPr="001B02FE" w14:paraId="58B9C0F4" w14:textId="77777777" w:rsidTr="00A535DB">
        <w:trPr>
          <w:trHeight w:val="611"/>
        </w:trPr>
        <w:tc>
          <w:tcPr>
            <w:tcW w:w="1843" w:type="dxa"/>
            <w:tcBorders>
              <w:top w:val="nil"/>
              <w:left w:val="nil"/>
              <w:bottom w:val="nil"/>
              <w:right w:val="nil"/>
            </w:tcBorders>
            <w:shd w:val="clear" w:color="auto" w:fill="auto"/>
            <w:vAlign w:val="center"/>
            <w:hideMark/>
          </w:tcPr>
          <w:p w14:paraId="110E1914"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Calibri" w:cstheme="minorHAnsi"/>
                <w:color w:val="000000"/>
                <w:sz w:val="20"/>
                <w:szCs w:val="20"/>
                <w:lang w:eastAsia="en-GB"/>
              </w:rPr>
              <w:t>Total comprehensive loss for the year</w:t>
            </w:r>
          </w:p>
        </w:tc>
        <w:tc>
          <w:tcPr>
            <w:tcW w:w="851" w:type="dxa"/>
            <w:tcBorders>
              <w:top w:val="nil"/>
              <w:left w:val="nil"/>
              <w:bottom w:val="nil"/>
              <w:right w:val="nil"/>
            </w:tcBorders>
            <w:shd w:val="clear" w:color="auto" w:fill="auto"/>
            <w:vAlign w:val="center"/>
            <w:hideMark/>
          </w:tcPr>
          <w:p w14:paraId="64E4CFF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tcBorders>
              <w:top w:val="nil"/>
              <w:left w:val="nil"/>
              <w:bottom w:val="nil"/>
              <w:right w:val="nil"/>
            </w:tcBorders>
            <w:shd w:val="clear" w:color="auto" w:fill="auto"/>
            <w:vAlign w:val="center"/>
            <w:hideMark/>
          </w:tcPr>
          <w:p w14:paraId="390BC778"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078" w:type="dxa"/>
            <w:gridSpan w:val="3"/>
            <w:tcBorders>
              <w:top w:val="nil"/>
              <w:left w:val="nil"/>
              <w:bottom w:val="nil"/>
              <w:right w:val="nil"/>
            </w:tcBorders>
            <w:shd w:val="clear" w:color="auto" w:fill="auto"/>
            <w:vAlign w:val="center"/>
            <w:hideMark/>
          </w:tcPr>
          <w:p w14:paraId="13F02708"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06" w:type="dxa"/>
            <w:gridSpan w:val="2"/>
            <w:tcBorders>
              <w:top w:val="nil"/>
              <w:left w:val="nil"/>
              <w:bottom w:val="nil"/>
              <w:right w:val="nil"/>
            </w:tcBorders>
            <w:shd w:val="clear" w:color="auto" w:fill="auto"/>
            <w:vAlign w:val="center"/>
            <w:hideMark/>
          </w:tcPr>
          <w:p w14:paraId="7F16089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852" w:type="dxa"/>
            <w:tcBorders>
              <w:top w:val="nil"/>
              <w:left w:val="nil"/>
              <w:bottom w:val="nil"/>
              <w:right w:val="nil"/>
            </w:tcBorders>
            <w:shd w:val="clear" w:color="auto" w:fill="auto"/>
            <w:vAlign w:val="center"/>
            <w:hideMark/>
          </w:tcPr>
          <w:p w14:paraId="0B555D68"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67</w:t>
            </w:r>
          </w:p>
        </w:tc>
        <w:tc>
          <w:tcPr>
            <w:tcW w:w="1275" w:type="dxa"/>
            <w:gridSpan w:val="2"/>
            <w:tcBorders>
              <w:top w:val="nil"/>
              <w:left w:val="nil"/>
              <w:bottom w:val="nil"/>
              <w:right w:val="nil"/>
            </w:tcBorders>
            <w:shd w:val="clear" w:color="auto" w:fill="auto"/>
            <w:vAlign w:val="center"/>
            <w:hideMark/>
          </w:tcPr>
          <w:p w14:paraId="64ED27A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(148)</w:t>
            </w:r>
          </w:p>
        </w:tc>
        <w:tc>
          <w:tcPr>
            <w:tcW w:w="850" w:type="dxa"/>
            <w:tcBorders>
              <w:top w:val="nil"/>
              <w:left w:val="nil"/>
              <w:bottom w:val="nil"/>
              <w:right w:val="nil"/>
            </w:tcBorders>
            <w:shd w:val="clear" w:color="auto" w:fill="auto"/>
            <w:vAlign w:val="center"/>
            <w:hideMark/>
          </w:tcPr>
          <w:p w14:paraId="79185AA8"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(5,618)</w:t>
            </w:r>
          </w:p>
        </w:tc>
        <w:tc>
          <w:tcPr>
            <w:tcW w:w="992" w:type="dxa"/>
            <w:gridSpan w:val="2"/>
            <w:tcBorders>
              <w:top w:val="nil"/>
              <w:left w:val="nil"/>
              <w:bottom w:val="nil"/>
              <w:right w:val="nil"/>
            </w:tcBorders>
            <w:shd w:val="clear" w:color="auto" w:fill="auto"/>
            <w:vAlign w:val="center"/>
            <w:hideMark/>
          </w:tcPr>
          <w:p w14:paraId="365AE96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(5,699)</w:t>
            </w:r>
          </w:p>
        </w:tc>
      </w:tr>
      <w:tr w:rsidR="00DA54F3" w:rsidRPr="001B02FE" w14:paraId="07DB572E" w14:textId="77777777" w:rsidTr="00A535DB">
        <w:trPr>
          <w:trHeight w:val="638"/>
        </w:trPr>
        <w:tc>
          <w:tcPr>
            <w:tcW w:w="1843" w:type="dxa"/>
            <w:tcBorders>
              <w:top w:val="nil"/>
              <w:left w:val="nil"/>
              <w:bottom w:val="nil"/>
              <w:right w:val="nil"/>
            </w:tcBorders>
            <w:shd w:val="clear" w:color="auto" w:fill="auto"/>
            <w:vAlign w:val="center"/>
            <w:hideMark/>
          </w:tcPr>
          <w:p w14:paraId="692C3FFB" w14:textId="77777777" w:rsidR="00DA54F3" w:rsidRPr="001B02FE" w:rsidRDefault="00DA54F3" w:rsidP="00A535DB">
            <w:pPr>
              <w:spacing w:after="0" w:line="240" w:lineRule="auto"/>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Transactions with owners</w:t>
            </w:r>
          </w:p>
        </w:tc>
        <w:tc>
          <w:tcPr>
            <w:tcW w:w="851" w:type="dxa"/>
            <w:tcBorders>
              <w:top w:val="nil"/>
              <w:left w:val="nil"/>
              <w:bottom w:val="nil"/>
              <w:right w:val="nil"/>
            </w:tcBorders>
            <w:shd w:val="clear" w:color="auto" w:fill="auto"/>
            <w:vAlign w:val="center"/>
            <w:hideMark/>
          </w:tcPr>
          <w:p w14:paraId="619F7D3D"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p>
        </w:tc>
        <w:tc>
          <w:tcPr>
            <w:tcW w:w="992" w:type="dxa"/>
            <w:tcBorders>
              <w:top w:val="nil"/>
              <w:left w:val="nil"/>
              <w:bottom w:val="nil"/>
              <w:right w:val="nil"/>
            </w:tcBorders>
            <w:shd w:val="clear" w:color="auto" w:fill="auto"/>
            <w:vAlign w:val="center"/>
            <w:hideMark/>
          </w:tcPr>
          <w:p w14:paraId="3E946D12"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078" w:type="dxa"/>
            <w:gridSpan w:val="3"/>
            <w:tcBorders>
              <w:top w:val="nil"/>
              <w:left w:val="nil"/>
              <w:bottom w:val="nil"/>
              <w:right w:val="nil"/>
            </w:tcBorders>
            <w:shd w:val="clear" w:color="auto" w:fill="auto"/>
            <w:vAlign w:val="center"/>
            <w:hideMark/>
          </w:tcPr>
          <w:p w14:paraId="5F291232"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06" w:type="dxa"/>
            <w:gridSpan w:val="2"/>
            <w:tcBorders>
              <w:top w:val="nil"/>
              <w:left w:val="nil"/>
              <w:bottom w:val="nil"/>
              <w:right w:val="nil"/>
            </w:tcBorders>
            <w:shd w:val="clear" w:color="auto" w:fill="auto"/>
            <w:vAlign w:val="center"/>
            <w:hideMark/>
          </w:tcPr>
          <w:p w14:paraId="45ABED04"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852" w:type="dxa"/>
            <w:tcBorders>
              <w:top w:val="nil"/>
              <w:left w:val="nil"/>
              <w:bottom w:val="nil"/>
              <w:right w:val="nil"/>
            </w:tcBorders>
            <w:shd w:val="clear" w:color="auto" w:fill="auto"/>
            <w:vAlign w:val="center"/>
            <w:hideMark/>
          </w:tcPr>
          <w:p w14:paraId="6FB09F06"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275" w:type="dxa"/>
            <w:gridSpan w:val="2"/>
            <w:tcBorders>
              <w:top w:val="nil"/>
              <w:left w:val="nil"/>
              <w:bottom w:val="nil"/>
              <w:right w:val="nil"/>
            </w:tcBorders>
            <w:shd w:val="clear" w:color="auto" w:fill="auto"/>
            <w:vAlign w:val="center"/>
            <w:hideMark/>
          </w:tcPr>
          <w:p w14:paraId="65D18A96"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850" w:type="dxa"/>
            <w:tcBorders>
              <w:top w:val="nil"/>
              <w:left w:val="nil"/>
              <w:bottom w:val="nil"/>
              <w:right w:val="nil"/>
            </w:tcBorders>
            <w:shd w:val="clear" w:color="auto" w:fill="auto"/>
            <w:vAlign w:val="center"/>
            <w:hideMark/>
          </w:tcPr>
          <w:p w14:paraId="32BE7B6D"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92" w:type="dxa"/>
            <w:gridSpan w:val="2"/>
            <w:tcBorders>
              <w:top w:val="nil"/>
              <w:left w:val="nil"/>
              <w:bottom w:val="nil"/>
              <w:right w:val="nil"/>
            </w:tcBorders>
            <w:shd w:val="clear" w:color="auto" w:fill="auto"/>
            <w:vAlign w:val="center"/>
            <w:hideMark/>
          </w:tcPr>
          <w:p w14:paraId="5091E3C2" w14:textId="77777777" w:rsidR="00DA54F3" w:rsidRPr="001B02FE" w:rsidRDefault="00DA54F3" w:rsidP="00A535DB">
            <w:pPr>
              <w:spacing w:after="0" w:line="240" w:lineRule="auto"/>
              <w:jc w:val="center"/>
              <w:rPr>
                <w:rFonts w:eastAsia="Times New Roman" w:cstheme="minorHAnsi"/>
                <w:sz w:val="20"/>
                <w:szCs w:val="20"/>
                <w:lang w:eastAsia="en-GB"/>
              </w:rPr>
            </w:pPr>
          </w:p>
        </w:tc>
      </w:tr>
      <w:tr w:rsidR="00DA54F3" w:rsidRPr="001B02FE" w14:paraId="6C55D667" w14:textId="77777777" w:rsidTr="00A535DB">
        <w:trPr>
          <w:trHeight w:val="425"/>
        </w:trPr>
        <w:tc>
          <w:tcPr>
            <w:tcW w:w="1843" w:type="dxa"/>
            <w:tcBorders>
              <w:top w:val="nil"/>
              <w:left w:val="nil"/>
              <w:bottom w:val="nil"/>
              <w:right w:val="nil"/>
            </w:tcBorders>
            <w:shd w:val="clear" w:color="auto" w:fill="auto"/>
            <w:vAlign w:val="center"/>
            <w:hideMark/>
          </w:tcPr>
          <w:p w14:paraId="04AC410D" w14:textId="77777777" w:rsidR="00DA54F3" w:rsidRPr="001B02FE" w:rsidRDefault="00DA54F3" w:rsidP="00A535DB">
            <w:pPr>
              <w:spacing w:after="0" w:line="240" w:lineRule="auto"/>
              <w:rPr>
                <w:rFonts w:eastAsia="Times New Roman" w:cstheme="minorHAnsi"/>
                <w:i/>
                <w:iCs/>
                <w:color w:val="000000"/>
                <w:sz w:val="20"/>
                <w:szCs w:val="20"/>
                <w:lang w:eastAsia="en-GB"/>
              </w:rPr>
            </w:pPr>
            <w:r w:rsidRPr="001B02FE">
              <w:rPr>
                <w:rFonts w:eastAsia="Calibri" w:cstheme="minorHAnsi"/>
                <w:i/>
                <w:iCs/>
                <w:color w:val="000000"/>
                <w:sz w:val="20"/>
                <w:szCs w:val="20"/>
                <w:lang w:eastAsia="en-GB"/>
              </w:rPr>
              <w:t>Issue of shares:</w:t>
            </w:r>
          </w:p>
        </w:tc>
        <w:tc>
          <w:tcPr>
            <w:tcW w:w="851" w:type="dxa"/>
            <w:tcBorders>
              <w:top w:val="nil"/>
              <w:left w:val="nil"/>
              <w:bottom w:val="nil"/>
              <w:right w:val="nil"/>
            </w:tcBorders>
            <w:shd w:val="clear" w:color="auto" w:fill="auto"/>
            <w:vAlign w:val="center"/>
            <w:hideMark/>
          </w:tcPr>
          <w:p w14:paraId="5F48522F" w14:textId="77777777" w:rsidR="00DA54F3" w:rsidRPr="001B02FE" w:rsidRDefault="00DA54F3" w:rsidP="00A535DB">
            <w:pPr>
              <w:spacing w:after="0" w:line="240" w:lineRule="auto"/>
              <w:jc w:val="center"/>
              <w:rPr>
                <w:rFonts w:eastAsia="Times New Roman" w:cstheme="minorHAnsi"/>
                <w:i/>
                <w:iCs/>
                <w:color w:val="000000"/>
                <w:sz w:val="20"/>
                <w:szCs w:val="20"/>
                <w:lang w:eastAsia="en-GB"/>
              </w:rPr>
            </w:pPr>
          </w:p>
        </w:tc>
        <w:tc>
          <w:tcPr>
            <w:tcW w:w="992" w:type="dxa"/>
            <w:tcBorders>
              <w:top w:val="nil"/>
              <w:left w:val="nil"/>
              <w:bottom w:val="nil"/>
              <w:right w:val="nil"/>
            </w:tcBorders>
            <w:shd w:val="clear" w:color="auto" w:fill="auto"/>
            <w:vAlign w:val="center"/>
            <w:hideMark/>
          </w:tcPr>
          <w:p w14:paraId="7485B355"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078" w:type="dxa"/>
            <w:gridSpan w:val="3"/>
            <w:tcBorders>
              <w:top w:val="nil"/>
              <w:left w:val="nil"/>
              <w:bottom w:val="nil"/>
              <w:right w:val="nil"/>
            </w:tcBorders>
            <w:shd w:val="clear" w:color="auto" w:fill="auto"/>
            <w:vAlign w:val="center"/>
            <w:hideMark/>
          </w:tcPr>
          <w:p w14:paraId="483DB10D"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06" w:type="dxa"/>
            <w:gridSpan w:val="2"/>
            <w:tcBorders>
              <w:top w:val="nil"/>
              <w:left w:val="nil"/>
              <w:bottom w:val="nil"/>
              <w:right w:val="nil"/>
            </w:tcBorders>
            <w:shd w:val="clear" w:color="auto" w:fill="auto"/>
            <w:vAlign w:val="center"/>
            <w:hideMark/>
          </w:tcPr>
          <w:p w14:paraId="01BE0C3B"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852" w:type="dxa"/>
            <w:tcBorders>
              <w:top w:val="nil"/>
              <w:left w:val="nil"/>
              <w:bottom w:val="nil"/>
              <w:right w:val="nil"/>
            </w:tcBorders>
            <w:shd w:val="clear" w:color="auto" w:fill="auto"/>
            <w:vAlign w:val="center"/>
            <w:hideMark/>
          </w:tcPr>
          <w:p w14:paraId="72E7D200"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275" w:type="dxa"/>
            <w:gridSpan w:val="2"/>
            <w:tcBorders>
              <w:top w:val="nil"/>
              <w:left w:val="nil"/>
              <w:bottom w:val="nil"/>
              <w:right w:val="nil"/>
            </w:tcBorders>
            <w:shd w:val="clear" w:color="auto" w:fill="auto"/>
            <w:vAlign w:val="center"/>
            <w:hideMark/>
          </w:tcPr>
          <w:p w14:paraId="42704E67"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850" w:type="dxa"/>
            <w:tcBorders>
              <w:top w:val="nil"/>
              <w:left w:val="nil"/>
              <w:bottom w:val="nil"/>
              <w:right w:val="nil"/>
            </w:tcBorders>
            <w:shd w:val="clear" w:color="auto" w:fill="auto"/>
            <w:vAlign w:val="center"/>
            <w:hideMark/>
          </w:tcPr>
          <w:p w14:paraId="697C8E52"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992" w:type="dxa"/>
            <w:gridSpan w:val="2"/>
            <w:tcBorders>
              <w:top w:val="nil"/>
              <w:left w:val="nil"/>
              <w:bottom w:val="nil"/>
              <w:right w:val="nil"/>
            </w:tcBorders>
            <w:shd w:val="clear" w:color="auto" w:fill="auto"/>
            <w:vAlign w:val="center"/>
            <w:hideMark/>
          </w:tcPr>
          <w:p w14:paraId="6A6CD5E0" w14:textId="77777777" w:rsidR="00DA54F3" w:rsidRPr="001B02FE" w:rsidRDefault="00DA54F3" w:rsidP="00A535DB">
            <w:pPr>
              <w:spacing w:after="0" w:line="240" w:lineRule="auto"/>
              <w:jc w:val="center"/>
              <w:rPr>
                <w:rFonts w:eastAsia="Times New Roman" w:cstheme="minorHAnsi"/>
                <w:sz w:val="20"/>
                <w:szCs w:val="20"/>
                <w:lang w:eastAsia="en-GB"/>
              </w:rPr>
            </w:pPr>
          </w:p>
        </w:tc>
      </w:tr>
      <w:tr w:rsidR="00DA54F3" w:rsidRPr="001B02FE" w14:paraId="55A1A707" w14:textId="77777777" w:rsidTr="00A535DB">
        <w:trPr>
          <w:trHeight w:val="651"/>
        </w:trPr>
        <w:tc>
          <w:tcPr>
            <w:tcW w:w="1843" w:type="dxa"/>
            <w:tcBorders>
              <w:top w:val="nil"/>
              <w:left w:val="nil"/>
              <w:bottom w:val="nil"/>
              <w:right w:val="nil"/>
            </w:tcBorders>
            <w:shd w:val="clear" w:color="auto" w:fill="auto"/>
            <w:vAlign w:val="center"/>
            <w:hideMark/>
          </w:tcPr>
          <w:p w14:paraId="340F1A11" w14:textId="77777777" w:rsidR="00DA54F3" w:rsidRPr="001B02FE" w:rsidRDefault="00DA54F3" w:rsidP="00A535DB">
            <w:pPr>
              <w:spacing w:after="0" w:line="240" w:lineRule="auto"/>
              <w:ind w:firstLineChars="100" w:firstLine="200"/>
              <w:rPr>
                <w:rFonts w:eastAsia="Times New Roman" w:cstheme="minorHAnsi"/>
                <w:color w:val="000000"/>
                <w:sz w:val="20"/>
                <w:szCs w:val="20"/>
                <w:lang w:eastAsia="en-GB"/>
              </w:rPr>
            </w:pPr>
            <w:r w:rsidRPr="001B02FE">
              <w:rPr>
                <w:rFonts w:eastAsia="Tahoma" w:cstheme="minorHAnsi"/>
                <w:color w:val="000000"/>
                <w:sz w:val="20"/>
                <w:szCs w:val="20"/>
                <w:lang w:eastAsia="en-GB"/>
              </w:rPr>
              <w:t xml:space="preserve">-   Issued in return for sponsorship services </w:t>
            </w:r>
          </w:p>
        </w:tc>
        <w:tc>
          <w:tcPr>
            <w:tcW w:w="851" w:type="dxa"/>
            <w:tcBorders>
              <w:top w:val="nil"/>
              <w:left w:val="nil"/>
              <w:bottom w:val="nil"/>
              <w:right w:val="nil"/>
            </w:tcBorders>
            <w:shd w:val="clear" w:color="auto" w:fill="auto"/>
            <w:vAlign w:val="center"/>
            <w:hideMark/>
          </w:tcPr>
          <w:p w14:paraId="4267C05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85</w:t>
            </w:r>
          </w:p>
        </w:tc>
        <w:tc>
          <w:tcPr>
            <w:tcW w:w="992" w:type="dxa"/>
            <w:tcBorders>
              <w:top w:val="nil"/>
              <w:left w:val="nil"/>
              <w:bottom w:val="nil"/>
              <w:right w:val="nil"/>
            </w:tcBorders>
            <w:shd w:val="clear" w:color="auto" w:fill="auto"/>
            <w:vAlign w:val="center"/>
            <w:hideMark/>
          </w:tcPr>
          <w:p w14:paraId="214A8BF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365</w:t>
            </w:r>
          </w:p>
        </w:tc>
        <w:tc>
          <w:tcPr>
            <w:tcW w:w="1078" w:type="dxa"/>
            <w:gridSpan w:val="3"/>
            <w:tcBorders>
              <w:top w:val="nil"/>
              <w:left w:val="nil"/>
              <w:bottom w:val="nil"/>
              <w:right w:val="nil"/>
            </w:tcBorders>
            <w:shd w:val="clear" w:color="auto" w:fill="auto"/>
            <w:vAlign w:val="center"/>
            <w:hideMark/>
          </w:tcPr>
          <w:p w14:paraId="43E96691"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06" w:type="dxa"/>
            <w:gridSpan w:val="2"/>
            <w:tcBorders>
              <w:top w:val="nil"/>
              <w:left w:val="nil"/>
              <w:bottom w:val="nil"/>
              <w:right w:val="nil"/>
            </w:tcBorders>
            <w:shd w:val="clear" w:color="auto" w:fill="auto"/>
            <w:vAlign w:val="center"/>
            <w:hideMark/>
          </w:tcPr>
          <w:p w14:paraId="6C10939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852" w:type="dxa"/>
            <w:tcBorders>
              <w:top w:val="nil"/>
              <w:left w:val="nil"/>
              <w:bottom w:val="nil"/>
              <w:right w:val="nil"/>
            </w:tcBorders>
            <w:shd w:val="clear" w:color="auto" w:fill="auto"/>
            <w:vAlign w:val="center"/>
            <w:hideMark/>
          </w:tcPr>
          <w:p w14:paraId="52FB6D5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275" w:type="dxa"/>
            <w:gridSpan w:val="2"/>
            <w:tcBorders>
              <w:top w:val="nil"/>
              <w:left w:val="nil"/>
              <w:bottom w:val="nil"/>
              <w:right w:val="nil"/>
            </w:tcBorders>
            <w:shd w:val="clear" w:color="auto" w:fill="auto"/>
            <w:vAlign w:val="center"/>
            <w:hideMark/>
          </w:tcPr>
          <w:p w14:paraId="129F4A5A"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w:t>
            </w:r>
          </w:p>
        </w:tc>
        <w:tc>
          <w:tcPr>
            <w:tcW w:w="850" w:type="dxa"/>
            <w:tcBorders>
              <w:top w:val="nil"/>
              <w:left w:val="nil"/>
              <w:bottom w:val="nil"/>
              <w:right w:val="nil"/>
            </w:tcBorders>
            <w:shd w:val="clear" w:color="auto" w:fill="auto"/>
            <w:vAlign w:val="center"/>
            <w:hideMark/>
          </w:tcPr>
          <w:p w14:paraId="03F40FB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(450)</w:t>
            </w:r>
          </w:p>
        </w:tc>
        <w:tc>
          <w:tcPr>
            <w:tcW w:w="992" w:type="dxa"/>
            <w:gridSpan w:val="2"/>
            <w:tcBorders>
              <w:top w:val="nil"/>
              <w:left w:val="nil"/>
              <w:bottom w:val="nil"/>
              <w:right w:val="nil"/>
            </w:tcBorders>
            <w:shd w:val="clear" w:color="auto" w:fill="auto"/>
            <w:vAlign w:val="center"/>
            <w:hideMark/>
          </w:tcPr>
          <w:p w14:paraId="450B17E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r>
      <w:tr w:rsidR="00DA54F3" w:rsidRPr="001B02FE" w14:paraId="3FFC1C08" w14:textId="77777777" w:rsidTr="00A535DB">
        <w:trPr>
          <w:trHeight w:val="677"/>
        </w:trPr>
        <w:tc>
          <w:tcPr>
            <w:tcW w:w="1843" w:type="dxa"/>
            <w:tcBorders>
              <w:top w:val="nil"/>
              <w:left w:val="nil"/>
              <w:bottom w:val="nil"/>
              <w:right w:val="nil"/>
            </w:tcBorders>
            <w:shd w:val="clear" w:color="auto" w:fill="auto"/>
            <w:vAlign w:val="center"/>
            <w:hideMark/>
          </w:tcPr>
          <w:p w14:paraId="35919FC5"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Calibri" w:cstheme="minorHAnsi"/>
                <w:color w:val="000000"/>
                <w:sz w:val="20"/>
                <w:szCs w:val="20"/>
                <w:lang w:eastAsia="en-GB"/>
              </w:rPr>
              <w:t>Issue of shares held by EBT to employees</w:t>
            </w:r>
          </w:p>
        </w:tc>
        <w:tc>
          <w:tcPr>
            <w:tcW w:w="851" w:type="dxa"/>
            <w:tcBorders>
              <w:top w:val="nil"/>
              <w:left w:val="nil"/>
              <w:bottom w:val="nil"/>
              <w:right w:val="nil"/>
            </w:tcBorders>
            <w:shd w:val="clear" w:color="auto" w:fill="auto"/>
            <w:vAlign w:val="center"/>
            <w:hideMark/>
          </w:tcPr>
          <w:p w14:paraId="2EAB157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tcBorders>
              <w:top w:val="nil"/>
              <w:left w:val="nil"/>
              <w:bottom w:val="nil"/>
              <w:right w:val="nil"/>
            </w:tcBorders>
            <w:shd w:val="clear" w:color="auto" w:fill="auto"/>
            <w:vAlign w:val="center"/>
            <w:hideMark/>
          </w:tcPr>
          <w:p w14:paraId="746277D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078" w:type="dxa"/>
            <w:gridSpan w:val="3"/>
            <w:tcBorders>
              <w:top w:val="nil"/>
              <w:left w:val="nil"/>
              <w:bottom w:val="nil"/>
              <w:right w:val="nil"/>
            </w:tcBorders>
            <w:shd w:val="clear" w:color="auto" w:fill="auto"/>
            <w:vAlign w:val="center"/>
            <w:hideMark/>
          </w:tcPr>
          <w:p w14:paraId="009BC97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179</w:t>
            </w:r>
          </w:p>
        </w:tc>
        <w:tc>
          <w:tcPr>
            <w:tcW w:w="906" w:type="dxa"/>
            <w:gridSpan w:val="2"/>
            <w:tcBorders>
              <w:top w:val="nil"/>
              <w:left w:val="nil"/>
              <w:bottom w:val="nil"/>
              <w:right w:val="nil"/>
            </w:tcBorders>
            <w:shd w:val="clear" w:color="auto" w:fill="auto"/>
            <w:vAlign w:val="center"/>
            <w:hideMark/>
          </w:tcPr>
          <w:p w14:paraId="738BF48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852" w:type="dxa"/>
            <w:tcBorders>
              <w:top w:val="nil"/>
              <w:left w:val="nil"/>
              <w:bottom w:val="nil"/>
              <w:right w:val="nil"/>
            </w:tcBorders>
            <w:shd w:val="clear" w:color="auto" w:fill="auto"/>
            <w:vAlign w:val="center"/>
            <w:hideMark/>
          </w:tcPr>
          <w:p w14:paraId="5B31B2C5"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275" w:type="dxa"/>
            <w:gridSpan w:val="2"/>
            <w:tcBorders>
              <w:top w:val="nil"/>
              <w:left w:val="nil"/>
              <w:bottom w:val="nil"/>
              <w:right w:val="nil"/>
            </w:tcBorders>
            <w:shd w:val="clear" w:color="auto" w:fill="auto"/>
            <w:vAlign w:val="center"/>
            <w:hideMark/>
          </w:tcPr>
          <w:p w14:paraId="1CA40403"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color w:val="000000"/>
                <w:sz w:val="20"/>
                <w:szCs w:val="20"/>
                <w:lang w:eastAsia="en-GB"/>
              </w:rPr>
              <w:t>–</w:t>
            </w:r>
          </w:p>
        </w:tc>
        <w:tc>
          <w:tcPr>
            <w:tcW w:w="850" w:type="dxa"/>
            <w:tcBorders>
              <w:top w:val="nil"/>
              <w:left w:val="nil"/>
              <w:bottom w:val="nil"/>
              <w:right w:val="nil"/>
            </w:tcBorders>
            <w:shd w:val="clear" w:color="auto" w:fill="auto"/>
            <w:vAlign w:val="center"/>
            <w:hideMark/>
          </w:tcPr>
          <w:p w14:paraId="5B3AB5C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(179)</w:t>
            </w:r>
          </w:p>
        </w:tc>
        <w:tc>
          <w:tcPr>
            <w:tcW w:w="992" w:type="dxa"/>
            <w:gridSpan w:val="2"/>
            <w:tcBorders>
              <w:top w:val="nil"/>
              <w:left w:val="nil"/>
              <w:bottom w:val="nil"/>
              <w:right w:val="nil"/>
            </w:tcBorders>
            <w:shd w:val="clear" w:color="auto" w:fill="auto"/>
            <w:vAlign w:val="center"/>
            <w:hideMark/>
          </w:tcPr>
          <w:p w14:paraId="765BEF6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r>
      <w:tr w:rsidR="00DA54F3" w:rsidRPr="001B02FE" w14:paraId="69737CF6" w14:textId="77777777" w:rsidTr="00A535DB">
        <w:trPr>
          <w:trHeight w:val="451"/>
        </w:trPr>
        <w:tc>
          <w:tcPr>
            <w:tcW w:w="1843" w:type="dxa"/>
            <w:tcBorders>
              <w:top w:val="nil"/>
              <w:left w:val="nil"/>
              <w:bottom w:val="nil"/>
              <w:right w:val="nil"/>
            </w:tcBorders>
            <w:shd w:val="clear" w:color="auto" w:fill="auto"/>
            <w:vAlign w:val="center"/>
            <w:hideMark/>
          </w:tcPr>
          <w:p w14:paraId="45CC4209"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Calibri" w:cstheme="minorHAnsi"/>
                <w:color w:val="000000"/>
                <w:sz w:val="20"/>
                <w:szCs w:val="20"/>
                <w:lang w:eastAsia="en-GB"/>
              </w:rPr>
              <w:t>Share based payments</w:t>
            </w:r>
          </w:p>
        </w:tc>
        <w:tc>
          <w:tcPr>
            <w:tcW w:w="851" w:type="dxa"/>
            <w:tcBorders>
              <w:top w:val="nil"/>
              <w:left w:val="nil"/>
              <w:bottom w:val="nil"/>
              <w:right w:val="nil"/>
            </w:tcBorders>
            <w:shd w:val="clear" w:color="auto" w:fill="auto"/>
            <w:vAlign w:val="center"/>
            <w:hideMark/>
          </w:tcPr>
          <w:p w14:paraId="480E390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92" w:type="dxa"/>
            <w:tcBorders>
              <w:top w:val="nil"/>
              <w:left w:val="nil"/>
              <w:bottom w:val="nil"/>
              <w:right w:val="nil"/>
            </w:tcBorders>
            <w:shd w:val="clear" w:color="auto" w:fill="auto"/>
            <w:vAlign w:val="center"/>
            <w:hideMark/>
          </w:tcPr>
          <w:p w14:paraId="64AE6847"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078" w:type="dxa"/>
            <w:gridSpan w:val="3"/>
            <w:tcBorders>
              <w:top w:val="nil"/>
              <w:left w:val="nil"/>
              <w:bottom w:val="nil"/>
              <w:right w:val="nil"/>
            </w:tcBorders>
            <w:shd w:val="clear" w:color="auto" w:fill="auto"/>
            <w:vAlign w:val="center"/>
            <w:hideMark/>
          </w:tcPr>
          <w:p w14:paraId="11E3687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06" w:type="dxa"/>
            <w:gridSpan w:val="2"/>
            <w:tcBorders>
              <w:top w:val="nil"/>
              <w:left w:val="nil"/>
              <w:bottom w:val="nil"/>
              <w:right w:val="nil"/>
            </w:tcBorders>
            <w:shd w:val="clear" w:color="auto" w:fill="auto"/>
            <w:vAlign w:val="center"/>
            <w:hideMark/>
          </w:tcPr>
          <w:p w14:paraId="5C2BCD6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852" w:type="dxa"/>
            <w:tcBorders>
              <w:top w:val="nil"/>
              <w:left w:val="nil"/>
              <w:bottom w:val="nil"/>
              <w:right w:val="nil"/>
            </w:tcBorders>
            <w:shd w:val="clear" w:color="auto" w:fill="auto"/>
            <w:vAlign w:val="center"/>
            <w:hideMark/>
          </w:tcPr>
          <w:p w14:paraId="17732A3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275" w:type="dxa"/>
            <w:gridSpan w:val="2"/>
            <w:tcBorders>
              <w:top w:val="nil"/>
              <w:left w:val="nil"/>
              <w:bottom w:val="nil"/>
              <w:right w:val="nil"/>
            </w:tcBorders>
            <w:shd w:val="clear" w:color="auto" w:fill="auto"/>
            <w:vAlign w:val="center"/>
            <w:hideMark/>
          </w:tcPr>
          <w:p w14:paraId="3827D60D"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color w:val="000000"/>
                <w:sz w:val="20"/>
                <w:szCs w:val="20"/>
                <w:lang w:eastAsia="en-GB"/>
              </w:rPr>
              <w:t>–</w:t>
            </w:r>
          </w:p>
        </w:tc>
        <w:tc>
          <w:tcPr>
            <w:tcW w:w="850" w:type="dxa"/>
            <w:tcBorders>
              <w:top w:val="nil"/>
              <w:left w:val="nil"/>
              <w:bottom w:val="nil"/>
              <w:right w:val="nil"/>
            </w:tcBorders>
            <w:shd w:val="clear" w:color="auto" w:fill="auto"/>
            <w:vAlign w:val="center"/>
            <w:hideMark/>
          </w:tcPr>
          <w:p w14:paraId="6B4B888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1,079</w:t>
            </w:r>
          </w:p>
        </w:tc>
        <w:tc>
          <w:tcPr>
            <w:tcW w:w="992" w:type="dxa"/>
            <w:gridSpan w:val="2"/>
            <w:tcBorders>
              <w:top w:val="nil"/>
              <w:left w:val="nil"/>
              <w:bottom w:val="nil"/>
              <w:right w:val="nil"/>
            </w:tcBorders>
            <w:shd w:val="clear" w:color="auto" w:fill="auto"/>
            <w:vAlign w:val="center"/>
            <w:hideMark/>
          </w:tcPr>
          <w:p w14:paraId="4BC1EB7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Calibri" w:cstheme="minorHAnsi"/>
                <w:color w:val="000000"/>
                <w:sz w:val="20"/>
                <w:szCs w:val="20"/>
                <w:lang w:eastAsia="en-GB"/>
              </w:rPr>
              <w:t>1,079</w:t>
            </w:r>
          </w:p>
        </w:tc>
      </w:tr>
      <w:tr w:rsidR="00DA54F3" w:rsidRPr="001B02FE" w14:paraId="2CB9B74F" w14:textId="77777777" w:rsidTr="00A535DB">
        <w:trPr>
          <w:trHeight w:val="279"/>
        </w:trPr>
        <w:tc>
          <w:tcPr>
            <w:tcW w:w="1843" w:type="dxa"/>
            <w:tcBorders>
              <w:top w:val="nil"/>
              <w:left w:val="nil"/>
              <w:bottom w:val="single" w:sz="12" w:space="0" w:color="auto"/>
              <w:right w:val="nil"/>
            </w:tcBorders>
            <w:shd w:val="clear" w:color="auto" w:fill="auto"/>
            <w:vAlign w:val="center"/>
            <w:hideMark/>
          </w:tcPr>
          <w:p w14:paraId="0E8DDAD0"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Calibri" w:cstheme="minorHAnsi"/>
                <w:color w:val="000000"/>
                <w:sz w:val="20"/>
                <w:szCs w:val="20"/>
                <w:lang w:eastAsia="en-GB"/>
              </w:rPr>
              <w:t> </w:t>
            </w:r>
          </w:p>
        </w:tc>
        <w:tc>
          <w:tcPr>
            <w:tcW w:w="851" w:type="dxa"/>
            <w:tcBorders>
              <w:top w:val="nil"/>
              <w:left w:val="nil"/>
              <w:bottom w:val="single" w:sz="12" w:space="0" w:color="auto"/>
              <w:right w:val="nil"/>
            </w:tcBorders>
            <w:shd w:val="clear" w:color="auto" w:fill="auto"/>
            <w:vAlign w:val="center"/>
            <w:hideMark/>
          </w:tcPr>
          <w:p w14:paraId="7310112F"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992" w:type="dxa"/>
            <w:tcBorders>
              <w:top w:val="nil"/>
              <w:left w:val="nil"/>
              <w:bottom w:val="single" w:sz="12" w:space="0" w:color="auto"/>
              <w:right w:val="nil"/>
            </w:tcBorders>
            <w:shd w:val="clear" w:color="auto" w:fill="auto"/>
            <w:vAlign w:val="center"/>
            <w:hideMark/>
          </w:tcPr>
          <w:p w14:paraId="4A703E0C"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1078" w:type="dxa"/>
            <w:gridSpan w:val="3"/>
            <w:tcBorders>
              <w:top w:val="nil"/>
              <w:left w:val="nil"/>
              <w:bottom w:val="single" w:sz="12" w:space="0" w:color="auto"/>
              <w:right w:val="nil"/>
            </w:tcBorders>
            <w:shd w:val="clear" w:color="auto" w:fill="auto"/>
            <w:vAlign w:val="center"/>
            <w:hideMark/>
          </w:tcPr>
          <w:p w14:paraId="4F092382"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906" w:type="dxa"/>
            <w:gridSpan w:val="2"/>
            <w:tcBorders>
              <w:top w:val="nil"/>
              <w:left w:val="nil"/>
              <w:bottom w:val="single" w:sz="12" w:space="0" w:color="auto"/>
              <w:right w:val="nil"/>
            </w:tcBorders>
            <w:shd w:val="clear" w:color="auto" w:fill="auto"/>
            <w:vAlign w:val="center"/>
            <w:hideMark/>
          </w:tcPr>
          <w:p w14:paraId="2CA40134"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852" w:type="dxa"/>
            <w:tcBorders>
              <w:top w:val="nil"/>
              <w:left w:val="nil"/>
              <w:bottom w:val="single" w:sz="12" w:space="0" w:color="auto"/>
              <w:right w:val="nil"/>
            </w:tcBorders>
            <w:shd w:val="clear" w:color="auto" w:fill="auto"/>
            <w:vAlign w:val="center"/>
            <w:hideMark/>
          </w:tcPr>
          <w:p w14:paraId="2ACEEC9A"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1275" w:type="dxa"/>
            <w:gridSpan w:val="2"/>
            <w:tcBorders>
              <w:top w:val="nil"/>
              <w:left w:val="nil"/>
              <w:bottom w:val="single" w:sz="12" w:space="0" w:color="auto"/>
              <w:right w:val="nil"/>
            </w:tcBorders>
            <w:shd w:val="clear" w:color="auto" w:fill="auto"/>
            <w:vAlign w:val="center"/>
            <w:hideMark/>
          </w:tcPr>
          <w:p w14:paraId="5F579913"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p>
        </w:tc>
        <w:tc>
          <w:tcPr>
            <w:tcW w:w="850" w:type="dxa"/>
            <w:tcBorders>
              <w:top w:val="nil"/>
              <w:left w:val="nil"/>
              <w:bottom w:val="single" w:sz="12" w:space="0" w:color="auto"/>
              <w:right w:val="nil"/>
            </w:tcBorders>
            <w:shd w:val="clear" w:color="auto" w:fill="auto"/>
            <w:vAlign w:val="center"/>
            <w:hideMark/>
          </w:tcPr>
          <w:p w14:paraId="3E985288"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c>
          <w:tcPr>
            <w:tcW w:w="992" w:type="dxa"/>
            <w:gridSpan w:val="2"/>
            <w:tcBorders>
              <w:top w:val="nil"/>
              <w:left w:val="nil"/>
              <w:bottom w:val="single" w:sz="12" w:space="0" w:color="auto"/>
              <w:right w:val="nil"/>
            </w:tcBorders>
            <w:shd w:val="clear" w:color="auto" w:fill="auto"/>
            <w:vAlign w:val="center"/>
            <w:hideMark/>
          </w:tcPr>
          <w:p w14:paraId="74A30312" w14:textId="77777777" w:rsidR="00DA54F3" w:rsidRPr="001B02FE" w:rsidRDefault="00DA54F3" w:rsidP="00A535DB">
            <w:pPr>
              <w:spacing w:after="0" w:line="240" w:lineRule="auto"/>
              <w:jc w:val="center"/>
              <w:rPr>
                <w:rFonts w:eastAsia="Times New Roman" w:cstheme="minorHAnsi"/>
                <w:color w:val="000000"/>
                <w:sz w:val="20"/>
                <w:szCs w:val="20"/>
                <w:lang w:eastAsia="en-GB"/>
              </w:rPr>
            </w:pPr>
          </w:p>
        </w:tc>
      </w:tr>
      <w:tr w:rsidR="00DA54F3" w:rsidRPr="001B02FE" w14:paraId="294B8B91" w14:textId="77777777" w:rsidTr="00A535DB">
        <w:trPr>
          <w:trHeight w:hRule="exact" w:val="465"/>
        </w:trPr>
        <w:tc>
          <w:tcPr>
            <w:tcW w:w="1843" w:type="dxa"/>
            <w:tcBorders>
              <w:top w:val="nil"/>
              <w:left w:val="nil"/>
              <w:bottom w:val="single" w:sz="12" w:space="0" w:color="auto"/>
              <w:right w:val="nil"/>
            </w:tcBorders>
            <w:shd w:val="clear" w:color="auto" w:fill="auto"/>
            <w:vAlign w:val="center"/>
            <w:hideMark/>
          </w:tcPr>
          <w:p w14:paraId="6BBA2F95" w14:textId="77777777" w:rsidR="00DA54F3" w:rsidRPr="001B02FE" w:rsidRDefault="00DA54F3" w:rsidP="00A535DB">
            <w:pPr>
              <w:spacing w:after="0" w:line="240" w:lineRule="auto"/>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At 31 December 2019</w:t>
            </w:r>
          </w:p>
        </w:tc>
        <w:tc>
          <w:tcPr>
            <w:tcW w:w="851" w:type="dxa"/>
            <w:tcBorders>
              <w:top w:val="nil"/>
              <w:left w:val="nil"/>
              <w:bottom w:val="single" w:sz="12" w:space="0" w:color="auto"/>
              <w:right w:val="nil"/>
            </w:tcBorders>
            <w:shd w:val="clear" w:color="auto" w:fill="auto"/>
            <w:vAlign w:val="center"/>
            <w:hideMark/>
          </w:tcPr>
          <w:p w14:paraId="60C057D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12,282</w:t>
            </w:r>
          </w:p>
        </w:tc>
        <w:tc>
          <w:tcPr>
            <w:tcW w:w="1134" w:type="dxa"/>
            <w:gridSpan w:val="2"/>
            <w:tcBorders>
              <w:top w:val="nil"/>
              <w:left w:val="nil"/>
              <w:bottom w:val="single" w:sz="12" w:space="0" w:color="auto"/>
              <w:right w:val="nil"/>
            </w:tcBorders>
            <w:shd w:val="clear" w:color="auto" w:fill="auto"/>
            <w:vAlign w:val="center"/>
            <w:hideMark/>
          </w:tcPr>
          <w:p w14:paraId="4DF5F45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48,829</w:t>
            </w:r>
          </w:p>
        </w:tc>
        <w:tc>
          <w:tcPr>
            <w:tcW w:w="789" w:type="dxa"/>
            <w:tcBorders>
              <w:top w:val="nil"/>
              <w:left w:val="nil"/>
              <w:bottom w:val="single" w:sz="12" w:space="0" w:color="auto"/>
              <w:right w:val="nil"/>
            </w:tcBorders>
            <w:shd w:val="clear" w:color="auto" w:fill="auto"/>
            <w:vAlign w:val="center"/>
            <w:hideMark/>
          </w:tcPr>
          <w:p w14:paraId="6FAAD03E"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(193)</w:t>
            </w:r>
          </w:p>
        </w:tc>
        <w:tc>
          <w:tcPr>
            <w:tcW w:w="858" w:type="dxa"/>
            <w:gridSpan w:val="2"/>
            <w:tcBorders>
              <w:top w:val="nil"/>
              <w:left w:val="nil"/>
              <w:bottom w:val="single" w:sz="12" w:space="0" w:color="auto"/>
              <w:right w:val="nil"/>
            </w:tcBorders>
            <w:shd w:val="clear" w:color="auto" w:fill="auto"/>
            <w:vAlign w:val="center"/>
            <w:hideMark/>
          </w:tcPr>
          <w:p w14:paraId="0703CE4B"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(907)</w:t>
            </w:r>
          </w:p>
        </w:tc>
        <w:tc>
          <w:tcPr>
            <w:tcW w:w="1047" w:type="dxa"/>
            <w:gridSpan w:val="2"/>
            <w:tcBorders>
              <w:top w:val="nil"/>
              <w:left w:val="nil"/>
              <w:bottom w:val="single" w:sz="12" w:space="0" w:color="auto"/>
              <w:right w:val="nil"/>
            </w:tcBorders>
            <w:shd w:val="clear" w:color="auto" w:fill="auto"/>
            <w:vAlign w:val="center"/>
            <w:hideMark/>
          </w:tcPr>
          <w:p w14:paraId="380DB8C9"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(30)</w:t>
            </w:r>
          </w:p>
        </w:tc>
        <w:tc>
          <w:tcPr>
            <w:tcW w:w="1275" w:type="dxa"/>
            <w:gridSpan w:val="2"/>
            <w:tcBorders>
              <w:top w:val="nil"/>
              <w:left w:val="nil"/>
              <w:bottom w:val="single" w:sz="12" w:space="0" w:color="auto"/>
              <w:right w:val="nil"/>
            </w:tcBorders>
            <w:shd w:val="clear" w:color="auto" w:fill="auto"/>
            <w:vAlign w:val="center"/>
            <w:hideMark/>
          </w:tcPr>
          <w:p w14:paraId="0176D0F0"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(148)</w:t>
            </w:r>
          </w:p>
        </w:tc>
        <w:tc>
          <w:tcPr>
            <w:tcW w:w="992" w:type="dxa"/>
            <w:gridSpan w:val="2"/>
            <w:tcBorders>
              <w:top w:val="nil"/>
              <w:left w:val="nil"/>
              <w:bottom w:val="single" w:sz="12" w:space="0" w:color="auto"/>
              <w:right w:val="nil"/>
            </w:tcBorders>
            <w:shd w:val="clear" w:color="auto" w:fill="auto"/>
            <w:vAlign w:val="center"/>
            <w:hideMark/>
          </w:tcPr>
          <w:p w14:paraId="463A3977"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(14,636)</w:t>
            </w:r>
          </w:p>
        </w:tc>
        <w:tc>
          <w:tcPr>
            <w:tcW w:w="850" w:type="dxa"/>
            <w:tcBorders>
              <w:top w:val="nil"/>
              <w:left w:val="nil"/>
              <w:bottom w:val="single" w:sz="12" w:space="0" w:color="auto"/>
              <w:right w:val="nil"/>
            </w:tcBorders>
            <w:shd w:val="clear" w:color="auto" w:fill="auto"/>
            <w:vAlign w:val="center"/>
            <w:hideMark/>
          </w:tcPr>
          <w:p w14:paraId="42BB5F80"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Calibri" w:cstheme="minorHAnsi"/>
                <w:b/>
                <w:bCs/>
                <w:color w:val="000000"/>
                <w:sz w:val="20"/>
                <w:szCs w:val="20"/>
                <w:lang w:eastAsia="en-GB"/>
              </w:rPr>
              <w:t>45,197</w:t>
            </w:r>
          </w:p>
        </w:tc>
      </w:tr>
    </w:tbl>
    <w:p w14:paraId="5235F9E3" w14:textId="77777777" w:rsidR="00DA54F3" w:rsidRPr="001B02FE" w:rsidRDefault="00DA54F3" w:rsidP="00DA54F3">
      <w:pPr>
        <w:spacing w:after="0" w:line="240" w:lineRule="auto"/>
        <w:rPr>
          <w:rFonts w:cstheme="minorHAnsi"/>
          <w:sz w:val="20"/>
          <w:szCs w:val="20"/>
        </w:rPr>
      </w:pPr>
    </w:p>
    <w:p w14:paraId="3096397D" w14:textId="19B646CC" w:rsidR="001B02FE" w:rsidRPr="001B02FE" w:rsidRDefault="001B02FE" w:rsidP="001B02FE">
      <w:pPr>
        <w:pStyle w:val="Header"/>
        <w:rPr>
          <w:rFonts w:cstheme="minorHAnsi"/>
          <w:b/>
          <w:sz w:val="24"/>
          <w:szCs w:val="20"/>
        </w:rPr>
      </w:pPr>
      <w:r>
        <w:rPr>
          <w:rFonts w:cstheme="minorHAnsi"/>
          <w:b/>
          <w:sz w:val="24"/>
          <w:szCs w:val="20"/>
        </w:rPr>
        <w:t>Notes to the consolidated financial statements</w:t>
      </w:r>
    </w:p>
    <w:p w14:paraId="0EF6C6DA" w14:textId="2C374CAC" w:rsidR="002606D7" w:rsidRPr="001B02FE" w:rsidRDefault="002606D7" w:rsidP="00DA54F3">
      <w:pPr>
        <w:spacing w:after="0" w:line="240" w:lineRule="auto"/>
        <w:jc w:val="both"/>
        <w:rPr>
          <w:rFonts w:eastAsia="Times New Roman" w:cstheme="minorHAnsi"/>
          <w:b/>
          <w:i/>
          <w:sz w:val="20"/>
          <w:szCs w:val="20"/>
        </w:rPr>
      </w:pPr>
    </w:p>
    <w:p w14:paraId="60853428" w14:textId="77777777" w:rsidR="002606D7" w:rsidRPr="001B02FE" w:rsidRDefault="002606D7" w:rsidP="00DA54F3">
      <w:pPr>
        <w:spacing w:after="0" w:line="240" w:lineRule="auto"/>
        <w:jc w:val="both"/>
        <w:rPr>
          <w:rFonts w:eastAsia="Times New Roman" w:cstheme="minorHAnsi"/>
          <w:b/>
          <w:i/>
          <w:sz w:val="20"/>
          <w:szCs w:val="20"/>
        </w:rPr>
      </w:pPr>
    </w:p>
    <w:p w14:paraId="2D21FE19" w14:textId="2DF333BF" w:rsidR="00DA54F3" w:rsidRPr="001B02FE" w:rsidRDefault="00DA54F3" w:rsidP="003A455D">
      <w:pPr>
        <w:spacing w:after="0" w:line="276" w:lineRule="auto"/>
        <w:jc w:val="both"/>
        <w:rPr>
          <w:rFonts w:eastAsia="Times New Roman" w:cstheme="minorHAnsi"/>
          <w:b/>
          <w:i/>
          <w:sz w:val="20"/>
          <w:szCs w:val="20"/>
        </w:rPr>
      </w:pPr>
      <w:r w:rsidRPr="001B02FE">
        <w:rPr>
          <w:rFonts w:eastAsia="Times New Roman" w:cstheme="minorHAnsi"/>
          <w:b/>
          <w:sz w:val="20"/>
          <w:szCs w:val="20"/>
        </w:rPr>
        <w:t>1. Accounting policies</w:t>
      </w:r>
    </w:p>
    <w:p w14:paraId="4433B568" w14:textId="39DBE88D" w:rsidR="00FA091D" w:rsidRDefault="00FA091D" w:rsidP="00DA54F3">
      <w:pPr>
        <w:spacing w:after="0" w:line="240" w:lineRule="auto"/>
        <w:jc w:val="both"/>
        <w:rPr>
          <w:rFonts w:eastAsia="Times New Roman" w:cstheme="minorHAnsi"/>
          <w:sz w:val="20"/>
          <w:szCs w:val="20"/>
        </w:rPr>
      </w:pPr>
      <w:r w:rsidRPr="00FA091D">
        <w:rPr>
          <w:rFonts w:eastAsia="Times New Roman" w:cstheme="minorHAnsi"/>
          <w:sz w:val="20"/>
          <w:szCs w:val="20"/>
        </w:rPr>
        <w:t>This final results announcement for</w:t>
      </w:r>
      <w:r>
        <w:rPr>
          <w:rFonts w:eastAsia="Times New Roman" w:cstheme="minorHAnsi"/>
          <w:sz w:val="20"/>
          <w:szCs w:val="20"/>
        </w:rPr>
        <w:t xml:space="preserve"> the year ended 31 December 2019</w:t>
      </w:r>
      <w:r w:rsidRPr="00FA091D">
        <w:rPr>
          <w:rFonts w:eastAsia="Times New Roman" w:cstheme="minorHAnsi"/>
          <w:sz w:val="20"/>
          <w:szCs w:val="20"/>
        </w:rPr>
        <w:t xml:space="preserve"> has been prepared in accordance with the recognition and measurement criteria of International Financial Reporting Standards ("IFRSs") as adopted for use in the European Union and with those parts of the Companies Act 2006 applicable to companies reporting under IFRS. The accounting policies applied are consistent with those set out in the Science in Sport plc Annual Report and Accounts for</w:t>
      </w:r>
      <w:r>
        <w:rPr>
          <w:rFonts w:eastAsia="Times New Roman" w:cstheme="minorHAnsi"/>
          <w:sz w:val="20"/>
          <w:szCs w:val="20"/>
        </w:rPr>
        <w:t xml:space="preserve"> the year ended 31 December 2019</w:t>
      </w:r>
      <w:r w:rsidRPr="00FA091D">
        <w:rPr>
          <w:rFonts w:eastAsia="Times New Roman" w:cstheme="minorHAnsi"/>
          <w:sz w:val="20"/>
          <w:szCs w:val="20"/>
        </w:rPr>
        <w:t>.</w:t>
      </w:r>
    </w:p>
    <w:p w14:paraId="14F1796C" w14:textId="77777777" w:rsidR="002606D7" w:rsidRPr="001B02FE" w:rsidRDefault="002606D7" w:rsidP="00DA54F3">
      <w:pPr>
        <w:spacing w:after="0" w:line="240" w:lineRule="auto"/>
        <w:jc w:val="both"/>
        <w:rPr>
          <w:rFonts w:eastAsia="Times New Roman" w:cstheme="minorHAnsi"/>
          <w:sz w:val="20"/>
          <w:szCs w:val="20"/>
        </w:rPr>
      </w:pPr>
    </w:p>
    <w:p w14:paraId="28EC1AF6" w14:textId="7B02A775" w:rsidR="002606D7" w:rsidRPr="001B02FE" w:rsidRDefault="002606D7" w:rsidP="00DA54F3">
      <w:pPr>
        <w:spacing w:after="0" w:line="240" w:lineRule="auto"/>
        <w:jc w:val="both"/>
        <w:rPr>
          <w:rFonts w:eastAsia="Times New Roman" w:cstheme="minorHAnsi"/>
          <w:sz w:val="20"/>
          <w:szCs w:val="20"/>
        </w:rPr>
      </w:pPr>
      <w:r w:rsidRPr="001B02FE">
        <w:rPr>
          <w:rFonts w:eastAsia="Times New Roman" w:cstheme="minorHAnsi"/>
          <w:sz w:val="20"/>
          <w:szCs w:val="20"/>
        </w:rPr>
        <w:t>The financial information contained within this final results announcement for the year ended 31 December 2019 and the year ended 31 December 2018 is derived from but does not comprise statutory financial statements within the meaning of section 434 of the Companies Act 2006. Statutory accounts for the year ended 31 December 2018 have been filed with the Registrar of Companies and those for the year ended 31 December 2019 will be filed following the Company's annual general meeting. The auditors' report on the statutory accounts for the year ended 31 December 2019 and the year ended 31 December 2018 is unqualified, does not draw attention to any matters by way of emphasis, and does not contain any statement under section 498 of the Companies Act 2006</w:t>
      </w:r>
      <w:r w:rsidRPr="001B02FE">
        <w:rPr>
          <w:rFonts w:cstheme="minorHAnsi"/>
          <w:sz w:val="20"/>
          <w:szCs w:val="20"/>
        </w:rPr>
        <w:t>.</w:t>
      </w:r>
    </w:p>
    <w:p w14:paraId="4790AA0C" w14:textId="77777777" w:rsidR="00DA54F3" w:rsidRPr="001B02FE" w:rsidRDefault="00DA54F3" w:rsidP="00DA54F3">
      <w:pPr>
        <w:spacing w:after="0" w:line="240" w:lineRule="auto"/>
        <w:jc w:val="both"/>
        <w:rPr>
          <w:rFonts w:eastAsia="Times New Roman" w:cstheme="minorHAnsi"/>
          <w:b/>
          <w:i/>
          <w:sz w:val="20"/>
          <w:szCs w:val="20"/>
          <w:highlight w:val="yellow"/>
        </w:rPr>
      </w:pPr>
    </w:p>
    <w:p w14:paraId="13D86DD2" w14:textId="5208C3EC" w:rsidR="00DA54F3" w:rsidRPr="001B02FE" w:rsidRDefault="00DA54F3" w:rsidP="00DA54F3">
      <w:pPr>
        <w:spacing w:after="0" w:line="240" w:lineRule="auto"/>
        <w:jc w:val="both"/>
        <w:rPr>
          <w:rFonts w:eastAsia="Times New Roman" w:cstheme="minorHAnsi"/>
          <w:b/>
          <w:iCs/>
          <w:sz w:val="20"/>
          <w:szCs w:val="20"/>
        </w:rPr>
      </w:pPr>
      <w:r w:rsidRPr="001B02FE">
        <w:rPr>
          <w:rFonts w:eastAsia="Times New Roman" w:cstheme="minorHAnsi"/>
          <w:b/>
          <w:iCs/>
          <w:sz w:val="20"/>
          <w:szCs w:val="20"/>
        </w:rPr>
        <w:t>Use of non-GAAP profit measure – underlying operating loss</w:t>
      </w:r>
    </w:p>
    <w:p w14:paraId="70F9D47F" w14:textId="7B6BE8BC"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sz w:val="20"/>
          <w:szCs w:val="20"/>
        </w:rPr>
        <w:t>The Directors believe that the operating loss before depreciation, amortisation, share based payments, IFRS 16</w:t>
      </w:r>
      <w:r w:rsidR="002606D7" w:rsidRPr="001B02FE">
        <w:rPr>
          <w:rFonts w:eastAsia="Times New Roman" w:cstheme="minorHAnsi"/>
          <w:sz w:val="20"/>
          <w:szCs w:val="20"/>
        </w:rPr>
        <w:t>,</w:t>
      </w:r>
      <w:r w:rsidRPr="001B02FE">
        <w:rPr>
          <w:rFonts w:eastAsia="Times New Roman" w:cstheme="minorHAnsi"/>
          <w:sz w:val="20"/>
          <w:szCs w:val="20"/>
        </w:rPr>
        <w:t xml:space="preserve"> costs relating to the acquisition of PhD and the restructuring due to this acquisition</w:t>
      </w:r>
      <w:r w:rsidR="002606D7" w:rsidRPr="001B02FE">
        <w:rPr>
          <w:rFonts w:eastAsia="Times New Roman" w:cstheme="minorHAnsi"/>
          <w:sz w:val="20"/>
          <w:szCs w:val="20"/>
        </w:rPr>
        <w:t>, and intercompany balance retranslation variances</w:t>
      </w:r>
      <w:r w:rsidRPr="001B02FE">
        <w:rPr>
          <w:rFonts w:eastAsia="Times New Roman" w:cstheme="minorHAnsi"/>
          <w:sz w:val="20"/>
          <w:szCs w:val="20"/>
        </w:rPr>
        <w:t xml:space="preserve"> as a measure provides additional useful information for Shareholders on underlying trends and performance. This measure is used for internal performance analysis. Underlying operating loss is not defined by IFRS and therefore may not be directly comparable with other companies’ adjusted profit measures. It is not intended to be a substitute for, or superior to IFRS measurements of profit.</w:t>
      </w:r>
    </w:p>
    <w:p w14:paraId="3B5A09B8" w14:textId="77777777" w:rsidR="00DA54F3" w:rsidRPr="001B02FE" w:rsidRDefault="00DA54F3" w:rsidP="00DA54F3">
      <w:pPr>
        <w:spacing w:after="0" w:line="240" w:lineRule="auto"/>
        <w:jc w:val="both"/>
        <w:rPr>
          <w:rFonts w:eastAsia="Times New Roman" w:cstheme="minorHAnsi"/>
          <w:sz w:val="20"/>
          <w:szCs w:val="20"/>
        </w:rPr>
      </w:pPr>
    </w:p>
    <w:p w14:paraId="08339BCF" w14:textId="77777777"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sz w:val="20"/>
          <w:szCs w:val="20"/>
        </w:rPr>
        <w:t>A reconciliation of the underlying operating loss to statutory operating loss is provided below:</w:t>
      </w:r>
    </w:p>
    <w:p w14:paraId="3EECFE02" w14:textId="77777777" w:rsidR="00DA54F3" w:rsidRPr="001B02FE" w:rsidRDefault="00DA54F3" w:rsidP="00DA54F3">
      <w:pPr>
        <w:spacing w:after="0" w:line="240" w:lineRule="auto"/>
        <w:jc w:val="both"/>
        <w:rPr>
          <w:rFonts w:eastAsia="Times New Roman" w:cstheme="minorHAnsi"/>
          <w:sz w:val="20"/>
          <w:szCs w:val="20"/>
        </w:rPr>
      </w:pPr>
    </w:p>
    <w:tbl>
      <w:tblPr>
        <w:tblW w:w="9275" w:type="dxa"/>
        <w:tblLook w:val="04A0" w:firstRow="1" w:lastRow="0" w:firstColumn="1" w:lastColumn="0" w:noHBand="0" w:noVBand="1"/>
      </w:tblPr>
      <w:tblGrid>
        <w:gridCol w:w="5810"/>
        <w:gridCol w:w="1857"/>
        <w:gridCol w:w="1608"/>
      </w:tblGrid>
      <w:tr w:rsidR="00DA54F3" w:rsidRPr="001B02FE" w14:paraId="04F01FD3" w14:textId="77777777" w:rsidTr="00A535DB">
        <w:trPr>
          <w:trHeight w:val="316"/>
        </w:trPr>
        <w:tc>
          <w:tcPr>
            <w:tcW w:w="9275" w:type="dxa"/>
            <w:gridSpan w:val="3"/>
            <w:tcBorders>
              <w:top w:val="nil"/>
              <w:left w:val="nil"/>
              <w:bottom w:val="nil"/>
              <w:right w:val="nil"/>
            </w:tcBorders>
            <w:shd w:val="clear" w:color="000000" w:fill="FFFFFF"/>
            <w:noWrap/>
            <w:vAlign w:val="bottom"/>
            <w:hideMark/>
          </w:tcPr>
          <w:p w14:paraId="24D97A34" w14:textId="77777777" w:rsidR="00DA54F3" w:rsidRPr="001B02FE" w:rsidRDefault="00DA54F3" w:rsidP="00A535DB">
            <w:pPr>
              <w:spacing w:after="0" w:line="240" w:lineRule="auto"/>
              <w:jc w:val="center"/>
              <w:rPr>
                <w:rFonts w:eastAsia="Times New Roman" w:cstheme="minorHAnsi"/>
                <w:b/>
                <w:bCs/>
                <w:sz w:val="20"/>
                <w:szCs w:val="20"/>
              </w:rPr>
            </w:pPr>
          </w:p>
          <w:p w14:paraId="4631F0CF"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p>
        </w:tc>
      </w:tr>
      <w:tr w:rsidR="00DA54F3" w:rsidRPr="001B02FE" w14:paraId="2DD6C2D2" w14:textId="77777777" w:rsidTr="00A535DB">
        <w:trPr>
          <w:trHeight w:val="302"/>
        </w:trPr>
        <w:tc>
          <w:tcPr>
            <w:tcW w:w="5810" w:type="dxa"/>
            <w:tcBorders>
              <w:top w:val="nil"/>
              <w:left w:val="nil"/>
              <w:bottom w:val="nil"/>
              <w:right w:val="nil"/>
            </w:tcBorders>
            <w:shd w:val="clear" w:color="000000" w:fill="FFFFFF"/>
            <w:noWrap/>
            <w:vAlign w:val="bottom"/>
          </w:tcPr>
          <w:p w14:paraId="0B01A757" w14:textId="77777777" w:rsidR="00DA54F3" w:rsidRPr="001B02FE" w:rsidRDefault="00DA54F3" w:rsidP="00A535DB">
            <w:pPr>
              <w:spacing w:after="0" w:line="240" w:lineRule="auto"/>
              <w:rPr>
                <w:rFonts w:eastAsia="Times New Roman" w:cstheme="minorHAnsi"/>
                <w:color w:val="000000"/>
                <w:sz w:val="20"/>
                <w:szCs w:val="20"/>
                <w:lang w:eastAsia="en-GB"/>
              </w:rPr>
            </w:pPr>
          </w:p>
        </w:tc>
        <w:tc>
          <w:tcPr>
            <w:tcW w:w="1857" w:type="dxa"/>
            <w:tcBorders>
              <w:top w:val="nil"/>
              <w:left w:val="nil"/>
              <w:bottom w:val="nil"/>
              <w:right w:val="nil"/>
            </w:tcBorders>
            <w:shd w:val="clear" w:color="000000" w:fill="FFFFFF"/>
            <w:noWrap/>
            <w:vAlign w:val="bottom"/>
          </w:tcPr>
          <w:p w14:paraId="597D653C"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2019</w:t>
            </w:r>
          </w:p>
          <w:p w14:paraId="3AA18437"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1608" w:type="dxa"/>
            <w:tcBorders>
              <w:top w:val="nil"/>
              <w:left w:val="nil"/>
              <w:bottom w:val="nil"/>
              <w:right w:val="nil"/>
            </w:tcBorders>
            <w:shd w:val="clear" w:color="000000" w:fill="FFFFFF"/>
            <w:noWrap/>
            <w:vAlign w:val="bottom"/>
          </w:tcPr>
          <w:p w14:paraId="615A0E8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2018</w:t>
            </w:r>
          </w:p>
          <w:p w14:paraId="56EBC44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r>
      <w:tr w:rsidR="00DA54F3" w:rsidRPr="001B02FE" w14:paraId="223DD551" w14:textId="77777777" w:rsidTr="00A535DB">
        <w:trPr>
          <w:trHeight w:val="316"/>
        </w:trPr>
        <w:tc>
          <w:tcPr>
            <w:tcW w:w="5810" w:type="dxa"/>
            <w:tcBorders>
              <w:top w:val="nil"/>
              <w:left w:val="nil"/>
              <w:bottom w:val="nil"/>
              <w:right w:val="nil"/>
            </w:tcBorders>
            <w:shd w:val="clear" w:color="000000" w:fill="FFFFFF"/>
            <w:noWrap/>
            <w:vAlign w:val="bottom"/>
            <w:hideMark/>
          </w:tcPr>
          <w:p w14:paraId="22FCCE01" w14:textId="77777777" w:rsidR="00DA54F3" w:rsidRPr="001B02FE" w:rsidRDefault="00DA54F3" w:rsidP="00A535DB">
            <w:pPr>
              <w:spacing w:after="0" w:line="240" w:lineRule="auto"/>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Loss from operations</w:t>
            </w:r>
          </w:p>
        </w:tc>
        <w:tc>
          <w:tcPr>
            <w:tcW w:w="1857" w:type="dxa"/>
            <w:tcBorders>
              <w:top w:val="single" w:sz="4" w:space="0" w:color="auto"/>
              <w:left w:val="nil"/>
              <w:bottom w:val="nil"/>
              <w:right w:val="nil"/>
            </w:tcBorders>
            <w:shd w:val="clear" w:color="000000" w:fill="FFFFFF"/>
            <w:noWrap/>
            <w:vAlign w:val="bottom"/>
            <w:hideMark/>
          </w:tcPr>
          <w:p w14:paraId="5777BC6D"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(5,045)</w:t>
            </w:r>
          </w:p>
        </w:tc>
        <w:tc>
          <w:tcPr>
            <w:tcW w:w="1608" w:type="dxa"/>
            <w:tcBorders>
              <w:top w:val="single" w:sz="4" w:space="0" w:color="auto"/>
              <w:left w:val="nil"/>
              <w:bottom w:val="nil"/>
              <w:right w:val="nil"/>
            </w:tcBorders>
            <w:shd w:val="clear" w:color="000000" w:fill="FFFFFF"/>
            <w:noWrap/>
            <w:vAlign w:val="bottom"/>
            <w:hideMark/>
          </w:tcPr>
          <w:p w14:paraId="2784870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(5,995)</w:t>
            </w:r>
          </w:p>
        </w:tc>
      </w:tr>
      <w:tr w:rsidR="00DA54F3" w:rsidRPr="001B02FE" w14:paraId="69B2FE30" w14:textId="77777777" w:rsidTr="00A535DB">
        <w:trPr>
          <w:trHeight w:val="288"/>
        </w:trPr>
        <w:tc>
          <w:tcPr>
            <w:tcW w:w="5810" w:type="dxa"/>
            <w:tcBorders>
              <w:top w:val="nil"/>
              <w:left w:val="nil"/>
              <w:bottom w:val="nil"/>
              <w:right w:val="nil"/>
            </w:tcBorders>
            <w:shd w:val="clear" w:color="000000" w:fill="FFFFFF"/>
            <w:noWrap/>
            <w:vAlign w:val="bottom"/>
            <w:hideMark/>
          </w:tcPr>
          <w:p w14:paraId="392D44DD"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PhD acquisition and integration costs</w:t>
            </w:r>
          </w:p>
        </w:tc>
        <w:tc>
          <w:tcPr>
            <w:tcW w:w="1857" w:type="dxa"/>
            <w:tcBorders>
              <w:top w:val="nil"/>
              <w:left w:val="nil"/>
              <w:bottom w:val="nil"/>
              <w:right w:val="nil"/>
            </w:tcBorders>
            <w:shd w:val="clear" w:color="000000" w:fill="FFFFFF"/>
            <w:noWrap/>
            <w:vAlign w:val="bottom"/>
            <w:hideMark/>
          </w:tcPr>
          <w:p w14:paraId="18B7B43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637</w:t>
            </w:r>
          </w:p>
        </w:tc>
        <w:tc>
          <w:tcPr>
            <w:tcW w:w="1608" w:type="dxa"/>
            <w:tcBorders>
              <w:top w:val="nil"/>
              <w:left w:val="nil"/>
              <w:bottom w:val="nil"/>
              <w:right w:val="nil"/>
            </w:tcBorders>
            <w:shd w:val="clear" w:color="000000" w:fill="FFFFFF"/>
            <w:noWrap/>
            <w:vAlign w:val="bottom"/>
            <w:hideMark/>
          </w:tcPr>
          <w:p w14:paraId="5A898B5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599</w:t>
            </w:r>
          </w:p>
        </w:tc>
      </w:tr>
      <w:tr w:rsidR="00DA54F3" w:rsidRPr="001B02FE" w14:paraId="2AFDE80E" w14:textId="77777777" w:rsidTr="00A535DB">
        <w:trPr>
          <w:trHeight w:val="302"/>
        </w:trPr>
        <w:tc>
          <w:tcPr>
            <w:tcW w:w="5810" w:type="dxa"/>
            <w:tcBorders>
              <w:top w:val="nil"/>
              <w:left w:val="nil"/>
              <w:bottom w:val="nil"/>
              <w:right w:val="nil"/>
            </w:tcBorders>
            <w:shd w:val="clear" w:color="000000" w:fill="FFFFFF"/>
            <w:noWrap/>
            <w:vAlign w:val="bottom"/>
            <w:hideMark/>
          </w:tcPr>
          <w:p w14:paraId="12CE6E21"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Share-based payment expense</w:t>
            </w:r>
          </w:p>
        </w:tc>
        <w:tc>
          <w:tcPr>
            <w:tcW w:w="1857" w:type="dxa"/>
            <w:tcBorders>
              <w:top w:val="nil"/>
              <w:left w:val="nil"/>
              <w:right w:val="nil"/>
            </w:tcBorders>
            <w:shd w:val="clear" w:color="000000" w:fill="FFFFFF"/>
            <w:noWrap/>
            <w:vAlign w:val="bottom"/>
            <w:hideMark/>
          </w:tcPr>
          <w:p w14:paraId="146390AD"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1,165</w:t>
            </w:r>
          </w:p>
        </w:tc>
        <w:tc>
          <w:tcPr>
            <w:tcW w:w="1608" w:type="dxa"/>
            <w:tcBorders>
              <w:top w:val="nil"/>
              <w:left w:val="nil"/>
              <w:right w:val="nil"/>
            </w:tcBorders>
            <w:shd w:val="clear" w:color="000000" w:fill="FFFFFF"/>
            <w:noWrap/>
            <w:vAlign w:val="bottom"/>
            <w:hideMark/>
          </w:tcPr>
          <w:p w14:paraId="4AB2088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1,922</w:t>
            </w:r>
          </w:p>
        </w:tc>
      </w:tr>
      <w:tr w:rsidR="00DA54F3" w:rsidRPr="001B02FE" w14:paraId="7504D0C6" w14:textId="77777777" w:rsidTr="00A535DB">
        <w:trPr>
          <w:trHeight w:val="288"/>
        </w:trPr>
        <w:tc>
          <w:tcPr>
            <w:tcW w:w="5810" w:type="dxa"/>
            <w:tcBorders>
              <w:top w:val="nil"/>
              <w:left w:val="nil"/>
              <w:bottom w:val="nil"/>
              <w:right w:val="nil"/>
            </w:tcBorders>
            <w:shd w:val="clear" w:color="000000" w:fill="FFFFFF"/>
            <w:noWrap/>
            <w:vAlign w:val="bottom"/>
            <w:hideMark/>
          </w:tcPr>
          <w:p w14:paraId="69BC1FB9"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Depreciation &amp; amortisation</w:t>
            </w:r>
          </w:p>
        </w:tc>
        <w:tc>
          <w:tcPr>
            <w:tcW w:w="1857" w:type="dxa"/>
            <w:tcBorders>
              <w:top w:val="nil"/>
              <w:left w:val="nil"/>
              <w:bottom w:val="nil"/>
              <w:right w:val="nil"/>
            </w:tcBorders>
            <w:shd w:val="clear" w:color="000000" w:fill="FFFFFF"/>
            <w:noWrap/>
            <w:vAlign w:val="bottom"/>
            <w:hideMark/>
          </w:tcPr>
          <w:p w14:paraId="7119F6B6"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2,774</w:t>
            </w:r>
          </w:p>
        </w:tc>
        <w:tc>
          <w:tcPr>
            <w:tcW w:w="1608" w:type="dxa"/>
            <w:tcBorders>
              <w:top w:val="nil"/>
              <w:left w:val="nil"/>
              <w:bottom w:val="nil"/>
              <w:right w:val="nil"/>
            </w:tcBorders>
            <w:shd w:val="clear" w:color="000000" w:fill="FFFFFF"/>
            <w:noWrap/>
            <w:vAlign w:val="bottom"/>
            <w:hideMark/>
          </w:tcPr>
          <w:p w14:paraId="0C1AA3A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926</w:t>
            </w:r>
          </w:p>
        </w:tc>
      </w:tr>
      <w:tr w:rsidR="00DA54F3" w:rsidRPr="001B02FE" w14:paraId="02A47549" w14:textId="77777777" w:rsidTr="00A535DB">
        <w:trPr>
          <w:trHeight w:val="288"/>
        </w:trPr>
        <w:tc>
          <w:tcPr>
            <w:tcW w:w="5810" w:type="dxa"/>
            <w:tcBorders>
              <w:top w:val="nil"/>
              <w:left w:val="nil"/>
              <w:bottom w:val="nil"/>
              <w:right w:val="nil"/>
            </w:tcBorders>
            <w:shd w:val="clear" w:color="000000" w:fill="FFFFFF"/>
            <w:noWrap/>
            <w:vAlign w:val="bottom"/>
            <w:hideMark/>
          </w:tcPr>
          <w:p w14:paraId="54CA21FB"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IFRS 16 lease payments</w:t>
            </w:r>
          </w:p>
        </w:tc>
        <w:tc>
          <w:tcPr>
            <w:tcW w:w="1857" w:type="dxa"/>
            <w:tcBorders>
              <w:top w:val="nil"/>
              <w:left w:val="nil"/>
              <w:bottom w:val="nil"/>
              <w:right w:val="nil"/>
            </w:tcBorders>
            <w:shd w:val="clear" w:color="000000" w:fill="FFFFFF"/>
            <w:noWrap/>
            <w:vAlign w:val="bottom"/>
            <w:hideMark/>
          </w:tcPr>
          <w:p w14:paraId="6986834E"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(175)</w:t>
            </w:r>
          </w:p>
        </w:tc>
        <w:tc>
          <w:tcPr>
            <w:tcW w:w="1608" w:type="dxa"/>
            <w:tcBorders>
              <w:top w:val="nil"/>
              <w:left w:val="nil"/>
              <w:bottom w:val="nil"/>
              <w:right w:val="nil"/>
            </w:tcBorders>
            <w:shd w:val="clear" w:color="000000" w:fill="FFFFFF"/>
            <w:noWrap/>
            <w:vAlign w:val="bottom"/>
            <w:hideMark/>
          </w:tcPr>
          <w:p w14:paraId="68684178"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r>
      <w:tr w:rsidR="00DA54F3" w:rsidRPr="001B02FE" w14:paraId="5F52D4A3" w14:textId="77777777" w:rsidTr="00A535DB">
        <w:trPr>
          <w:trHeight w:val="288"/>
        </w:trPr>
        <w:tc>
          <w:tcPr>
            <w:tcW w:w="5810" w:type="dxa"/>
            <w:tcBorders>
              <w:top w:val="nil"/>
              <w:left w:val="nil"/>
              <w:bottom w:val="nil"/>
              <w:right w:val="nil"/>
            </w:tcBorders>
            <w:shd w:val="clear" w:color="000000" w:fill="FFFFFF"/>
            <w:noWrap/>
            <w:vAlign w:val="bottom"/>
            <w:hideMark/>
          </w:tcPr>
          <w:p w14:paraId="7A341914"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xml:space="preserve">Foreign exchange variances on intercompany balances </w:t>
            </w:r>
          </w:p>
        </w:tc>
        <w:tc>
          <w:tcPr>
            <w:tcW w:w="1857" w:type="dxa"/>
            <w:tcBorders>
              <w:top w:val="nil"/>
              <w:left w:val="nil"/>
              <w:bottom w:val="nil"/>
              <w:right w:val="nil"/>
            </w:tcBorders>
            <w:shd w:val="clear" w:color="000000" w:fill="FFFFFF"/>
            <w:noWrap/>
            <w:vAlign w:val="bottom"/>
            <w:hideMark/>
          </w:tcPr>
          <w:p w14:paraId="3BB310E0"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297</w:t>
            </w:r>
          </w:p>
        </w:tc>
        <w:tc>
          <w:tcPr>
            <w:tcW w:w="1608" w:type="dxa"/>
            <w:tcBorders>
              <w:top w:val="nil"/>
              <w:left w:val="nil"/>
              <w:bottom w:val="nil"/>
              <w:right w:val="nil"/>
            </w:tcBorders>
            <w:shd w:val="clear" w:color="000000" w:fill="FFFFFF"/>
            <w:noWrap/>
            <w:vAlign w:val="bottom"/>
            <w:hideMark/>
          </w:tcPr>
          <w:p w14:paraId="5F9B2E7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(161)</w:t>
            </w:r>
          </w:p>
        </w:tc>
      </w:tr>
      <w:tr w:rsidR="00DA54F3" w:rsidRPr="001B02FE" w14:paraId="0207BCD5" w14:textId="77777777" w:rsidTr="00A535DB">
        <w:trPr>
          <w:trHeight w:val="316"/>
        </w:trPr>
        <w:tc>
          <w:tcPr>
            <w:tcW w:w="5810" w:type="dxa"/>
            <w:tcBorders>
              <w:top w:val="nil"/>
              <w:left w:val="nil"/>
              <w:bottom w:val="nil"/>
              <w:right w:val="nil"/>
            </w:tcBorders>
            <w:shd w:val="clear" w:color="000000" w:fill="FFFFFF"/>
            <w:noWrap/>
            <w:vAlign w:val="bottom"/>
            <w:hideMark/>
          </w:tcPr>
          <w:p w14:paraId="07B454A6" w14:textId="77777777" w:rsidR="00DA54F3" w:rsidRPr="001B02FE" w:rsidRDefault="00DA54F3" w:rsidP="00A535DB">
            <w:pPr>
              <w:spacing w:after="0" w:line="240" w:lineRule="auto"/>
              <w:rPr>
                <w:rFonts w:eastAsia="Times New Roman" w:cstheme="minorHAnsi"/>
                <w:b/>
                <w:bCs/>
                <w:color w:val="000000"/>
                <w:sz w:val="20"/>
                <w:szCs w:val="20"/>
                <w:lang w:eastAsia="en-GB"/>
              </w:rPr>
            </w:pPr>
            <w:r w:rsidRPr="001B02FE">
              <w:rPr>
                <w:rFonts w:eastAsia="Times New Roman" w:cstheme="minorHAnsi"/>
                <w:b/>
                <w:bCs/>
                <w:sz w:val="20"/>
                <w:szCs w:val="20"/>
              </w:rPr>
              <w:t>Underlying operating loss</w:t>
            </w:r>
          </w:p>
        </w:tc>
        <w:tc>
          <w:tcPr>
            <w:tcW w:w="1857" w:type="dxa"/>
            <w:tcBorders>
              <w:top w:val="single" w:sz="4" w:space="0" w:color="auto"/>
              <w:left w:val="nil"/>
              <w:bottom w:val="double" w:sz="6" w:space="0" w:color="auto"/>
              <w:right w:val="nil"/>
            </w:tcBorders>
            <w:shd w:val="clear" w:color="000000" w:fill="FFFFFF"/>
            <w:noWrap/>
            <w:vAlign w:val="bottom"/>
            <w:hideMark/>
          </w:tcPr>
          <w:p w14:paraId="2C201935" w14:textId="3E86A89D"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(34</w:t>
            </w:r>
            <w:r w:rsidR="00294C0A">
              <w:rPr>
                <w:rFonts w:eastAsia="Times New Roman" w:cstheme="minorHAnsi"/>
                <w:b/>
                <w:bCs/>
                <w:color w:val="000000"/>
                <w:sz w:val="20"/>
                <w:szCs w:val="20"/>
                <w:lang w:eastAsia="en-GB"/>
              </w:rPr>
              <w:t>7</w:t>
            </w:r>
            <w:r w:rsidRPr="001B02FE">
              <w:rPr>
                <w:rFonts w:eastAsia="Times New Roman" w:cstheme="minorHAnsi"/>
                <w:b/>
                <w:bCs/>
                <w:color w:val="000000"/>
                <w:sz w:val="20"/>
                <w:szCs w:val="20"/>
                <w:lang w:eastAsia="en-GB"/>
              </w:rPr>
              <w:t>)</w:t>
            </w:r>
          </w:p>
        </w:tc>
        <w:tc>
          <w:tcPr>
            <w:tcW w:w="1608" w:type="dxa"/>
            <w:tcBorders>
              <w:top w:val="single" w:sz="4" w:space="0" w:color="auto"/>
              <w:left w:val="nil"/>
              <w:bottom w:val="double" w:sz="6" w:space="0" w:color="auto"/>
              <w:right w:val="nil"/>
            </w:tcBorders>
            <w:shd w:val="clear" w:color="000000" w:fill="FFFFFF"/>
            <w:noWrap/>
            <w:vAlign w:val="bottom"/>
            <w:hideMark/>
          </w:tcPr>
          <w:p w14:paraId="6673C2D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(2,709)</w:t>
            </w:r>
          </w:p>
        </w:tc>
      </w:tr>
    </w:tbl>
    <w:p w14:paraId="7DE3E65B" w14:textId="74BF6ABA" w:rsidR="00DA54F3" w:rsidRPr="001B02FE" w:rsidRDefault="00DA54F3" w:rsidP="00DA54F3">
      <w:pPr>
        <w:spacing w:after="0" w:line="240" w:lineRule="auto"/>
        <w:jc w:val="both"/>
        <w:rPr>
          <w:rFonts w:eastAsia="Times New Roman" w:cstheme="minorHAnsi"/>
          <w:b/>
          <w:sz w:val="20"/>
          <w:szCs w:val="20"/>
        </w:rPr>
      </w:pPr>
    </w:p>
    <w:p w14:paraId="1BEBD7C8" w14:textId="77777777" w:rsidR="00E74C34" w:rsidRPr="001B02FE" w:rsidRDefault="00E74C34" w:rsidP="00E74C34">
      <w:pPr>
        <w:autoSpaceDE w:val="0"/>
        <w:autoSpaceDN w:val="0"/>
        <w:spacing w:after="0" w:line="276" w:lineRule="auto"/>
        <w:jc w:val="both"/>
        <w:rPr>
          <w:rFonts w:eastAsia="Times New Roman" w:cstheme="minorHAnsi"/>
          <w:color w:val="000000"/>
          <w:sz w:val="20"/>
          <w:szCs w:val="20"/>
        </w:rPr>
      </w:pPr>
      <w:r w:rsidRPr="001B02FE">
        <w:rPr>
          <w:rFonts w:eastAsia="Times New Roman" w:cstheme="minorHAnsi"/>
          <w:b/>
          <w:bCs/>
          <w:i/>
          <w:sz w:val="20"/>
          <w:szCs w:val="20"/>
        </w:rPr>
        <w:t>IFRS 16 Leases</w:t>
      </w:r>
    </w:p>
    <w:p w14:paraId="41C1C2A3" w14:textId="77777777" w:rsidR="00E74C34" w:rsidRPr="001B02FE" w:rsidRDefault="00E74C34" w:rsidP="00E74C34">
      <w:pPr>
        <w:tabs>
          <w:tab w:val="left" w:pos="540"/>
          <w:tab w:val="decimal" w:pos="5490"/>
          <w:tab w:val="decimal" w:pos="7020"/>
          <w:tab w:val="left" w:pos="8364"/>
          <w:tab w:val="decimal" w:pos="9000"/>
        </w:tabs>
        <w:spacing w:after="0" w:line="240" w:lineRule="auto"/>
        <w:jc w:val="both"/>
        <w:outlineLvl w:val="0"/>
        <w:rPr>
          <w:rFonts w:eastAsia="Times New Roman" w:cstheme="minorHAnsi"/>
          <w:sz w:val="20"/>
          <w:szCs w:val="20"/>
        </w:rPr>
      </w:pPr>
      <w:r w:rsidRPr="001B02FE">
        <w:rPr>
          <w:rFonts w:eastAsia="Times New Roman" w:cstheme="minorHAnsi"/>
          <w:sz w:val="20"/>
          <w:szCs w:val="20"/>
        </w:rPr>
        <w:t>Effective 1 January 2019, IFRS 16 has replaced IAS 17 Leases and IFRIC 4 Determining whether an Arrangement Contains a Lease.</w:t>
      </w:r>
    </w:p>
    <w:p w14:paraId="4154BCC8" w14:textId="77777777" w:rsidR="00E74C34" w:rsidRPr="001B02FE" w:rsidRDefault="00E74C34" w:rsidP="00E74C34">
      <w:pPr>
        <w:tabs>
          <w:tab w:val="left" w:pos="540"/>
          <w:tab w:val="decimal" w:pos="5490"/>
          <w:tab w:val="decimal" w:pos="7020"/>
          <w:tab w:val="left" w:pos="8364"/>
          <w:tab w:val="decimal" w:pos="9000"/>
        </w:tabs>
        <w:spacing w:after="0" w:line="240" w:lineRule="auto"/>
        <w:jc w:val="both"/>
        <w:outlineLvl w:val="0"/>
        <w:rPr>
          <w:rFonts w:eastAsia="Times New Roman" w:cstheme="minorHAnsi"/>
          <w:sz w:val="20"/>
          <w:szCs w:val="20"/>
        </w:rPr>
      </w:pPr>
    </w:p>
    <w:p w14:paraId="6ADB2F21" w14:textId="77777777" w:rsidR="00E74C34" w:rsidRPr="001B02FE" w:rsidRDefault="00E74C34" w:rsidP="00E74C34">
      <w:pPr>
        <w:tabs>
          <w:tab w:val="left" w:pos="540"/>
          <w:tab w:val="decimal" w:pos="5490"/>
          <w:tab w:val="decimal" w:pos="7020"/>
          <w:tab w:val="left" w:pos="8364"/>
          <w:tab w:val="decimal" w:pos="9000"/>
        </w:tabs>
        <w:spacing w:after="0" w:line="240" w:lineRule="auto"/>
        <w:jc w:val="both"/>
        <w:outlineLvl w:val="0"/>
        <w:rPr>
          <w:rFonts w:eastAsia="Times New Roman" w:cstheme="minorHAnsi"/>
          <w:sz w:val="20"/>
          <w:szCs w:val="20"/>
        </w:rPr>
      </w:pPr>
      <w:r w:rsidRPr="001B02FE">
        <w:rPr>
          <w:rFonts w:eastAsia="Times New Roman" w:cstheme="minorHAnsi"/>
          <w:sz w:val="20"/>
          <w:szCs w:val="20"/>
        </w:rPr>
        <w:t xml:space="preserve">IFRS 16 provides a single lessee accounting model, requiring the recognition of assets and liabilities for all leases, together with options to exclude leases where the lease term is 12 months or less, or where the underlying asset is of low value.  IFRS 16 substantially carries forward the lessor accounting in IAS 17, with the distinction between operating leases and finance leases being retained. </w:t>
      </w:r>
    </w:p>
    <w:p w14:paraId="75ABE318" w14:textId="77777777" w:rsidR="00E74C34" w:rsidRPr="001B02FE" w:rsidRDefault="00E74C34" w:rsidP="00E74C34">
      <w:pPr>
        <w:tabs>
          <w:tab w:val="left" w:pos="540"/>
          <w:tab w:val="decimal" w:pos="5490"/>
          <w:tab w:val="decimal" w:pos="7020"/>
          <w:tab w:val="left" w:pos="8364"/>
          <w:tab w:val="decimal" w:pos="9000"/>
        </w:tabs>
        <w:spacing w:after="0" w:line="240" w:lineRule="auto"/>
        <w:jc w:val="both"/>
        <w:outlineLvl w:val="0"/>
        <w:rPr>
          <w:rFonts w:eastAsia="Times New Roman" w:cstheme="minorHAnsi"/>
          <w:sz w:val="20"/>
          <w:szCs w:val="20"/>
        </w:rPr>
      </w:pPr>
    </w:p>
    <w:p w14:paraId="5E341550" w14:textId="27445750" w:rsidR="00E74C34" w:rsidRPr="001B02FE" w:rsidRDefault="00E74C34" w:rsidP="00E74C34">
      <w:pPr>
        <w:tabs>
          <w:tab w:val="left" w:pos="540"/>
          <w:tab w:val="decimal" w:pos="5490"/>
          <w:tab w:val="decimal" w:pos="7020"/>
          <w:tab w:val="left" w:pos="8364"/>
          <w:tab w:val="decimal" w:pos="9000"/>
        </w:tabs>
        <w:spacing w:after="0" w:line="240" w:lineRule="auto"/>
        <w:jc w:val="both"/>
        <w:outlineLvl w:val="0"/>
        <w:rPr>
          <w:rFonts w:eastAsia="Times New Roman" w:cstheme="minorHAnsi"/>
          <w:sz w:val="20"/>
          <w:szCs w:val="20"/>
        </w:rPr>
      </w:pPr>
      <w:r w:rsidRPr="001B02FE">
        <w:rPr>
          <w:rFonts w:eastAsia="Times New Roman" w:cstheme="minorHAnsi"/>
          <w:sz w:val="20"/>
          <w:szCs w:val="20"/>
        </w:rPr>
        <w:t>The Group adopted IFRS 16 using the modified retrospective approach, with recognition of transitional adjustments on the date of initial application (1 January 2019), without restatement of comparative figures. The Group elected to apply the practical expedient to not reassess whether a contract is, or contains a lease at the date of initial application. Contracts entered into before the transition date that were not identified as leases under IAS 17 and IFRIC 4 were not reassessed. The definition of a lease under IFRS 16 was applied only to contracts entered into or changed on or after 1 January 2019.</w:t>
      </w:r>
    </w:p>
    <w:p w14:paraId="0F22992C" w14:textId="77777777" w:rsidR="00E74C34" w:rsidRPr="001B02FE" w:rsidRDefault="00E74C34" w:rsidP="00E74C34">
      <w:pPr>
        <w:tabs>
          <w:tab w:val="left" w:pos="540"/>
          <w:tab w:val="decimal" w:pos="5490"/>
          <w:tab w:val="decimal" w:pos="7020"/>
          <w:tab w:val="left" w:pos="8364"/>
          <w:tab w:val="decimal" w:pos="9000"/>
        </w:tabs>
        <w:spacing w:after="0" w:line="240" w:lineRule="auto"/>
        <w:jc w:val="both"/>
        <w:outlineLvl w:val="0"/>
        <w:rPr>
          <w:rFonts w:eastAsia="Times New Roman" w:cstheme="minorHAnsi"/>
          <w:sz w:val="20"/>
          <w:szCs w:val="20"/>
        </w:rPr>
      </w:pPr>
    </w:p>
    <w:p w14:paraId="3D5AF12B" w14:textId="77777777" w:rsidR="00E74C34" w:rsidRPr="001B02FE" w:rsidRDefault="00E74C34" w:rsidP="00E74C34">
      <w:pPr>
        <w:tabs>
          <w:tab w:val="left" w:pos="540"/>
          <w:tab w:val="decimal" w:pos="5490"/>
          <w:tab w:val="decimal" w:pos="7020"/>
          <w:tab w:val="left" w:pos="8364"/>
          <w:tab w:val="decimal" w:pos="9000"/>
        </w:tabs>
        <w:spacing w:after="0" w:line="240" w:lineRule="auto"/>
        <w:jc w:val="both"/>
        <w:outlineLvl w:val="0"/>
        <w:rPr>
          <w:rFonts w:eastAsia="Times New Roman" w:cstheme="minorHAnsi"/>
          <w:sz w:val="20"/>
          <w:szCs w:val="20"/>
        </w:rPr>
      </w:pPr>
      <w:r w:rsidRPr="001B02FE">
        <w:rPr>
          <w:rFonts w:eastAsia="Times New Roman" w:cstheme="minorHAnsi"/>
          <w:sz w:val="20"/>
          <w:szCs w:val="20"/>
        </w:rPr>
        <w:t xml:space="preserve">As permitted under IFRS 16 for leases previously classified as operating leases under IAS 17, The Group elected to </w:t>
      </w:r>
    </w:p>
    <w:p w14:paraId="64E2E3B3" w14:textId="77777777" w:rsidR="00E74C34" w:rsidRPr="001B02FE" w:rsidRDefault="00E74C34" w:rsidP="00E74C34">
      <w:pPr>
        <w:tabs>
          <w:tab w:val="left" w:pos="540"/>
          <w:tab w:val="decimal" w:pos="5490"/>
          <w:tab w:val="decimal" w:pos="7020"/>
          <w:tab w:val="left" w:pos="8364"/>
          <w:tab w:val="decimal" w:pos="9000"/>
        </w:tabs>
        <w:spacing w:after="0" w:line="240" w:lineRule="auto"/>
        <w:jc w:val="both"/>
        <w:outlineLvl w:val="0"/>
        <w:rPr>
          <w:rFonts w:eastAsia="Times New Roman" w:cstheme="minorHAnsi"/>
          <w:sz w:val="20"/>
          <w:szCs w:val="20"/>
        </w:rPr>
      </w:pPr>
      <w:r w:rsidRPr="001B02FE">
        <w:rPr>
          <w:rFonts w:eastAsia="Times New Roman" w:cstheme="minorHAnsi"/>
          <w:sz w:val="20"/>
          <w:szCs w:val="20"/>
        </w:rPr>
        <w:t xml:space="preserve"> </w:t>
      </w:r>
    </w:p>
    <w:p w14:paraId="59D78912" w14:textId="77777777" w:rsidR="00E74C34" w:rsidRPr="001B02FE" w:rsidRDefault="00E74C34" w:rsidP="00E74C34">
      <w:pPr>
        <w:pStyle w:val="ListParagraph"/>
        <w:numPr>
          <w:ilvl w:val="0"/>
          <w:numId w:val="47"/>
        </w:numPr>
        <w:tabs>
          <w:tab w:val="left" w:pos="540"/>
          <w:tab w:val="decimal" w:pos="5490"/>
          <w:tab w:val="decimal" w:pos="7020"/>
          <w:tab w:val="left" w:pos="8364"/>
          <w:tab w:val="decimal" w:pos="9000"/>
        </w:tabs>
        <w:spacing w:after="0" w:line="240" w:lineRule="auto"/>
        <w:jc w:val="both"/>
        <w:outlineLvl w:val="0"/>
        <w:rPr>
          <w:rFonts w:eastAsia="Times New Roman" w:cstheme="minorHAnsi"/>
          <w:sz w:val="20"/>
          <w:szCs w:val="20"/>
        </w:rPr>
      </w:pPr>
      <w:r w:rsidRPr="001B02FE">
        <w:rPr>
          <w:rFonts w:eastAsia="Times New Roman" w:cstheme="minorHAnsi"/>
          <w:sz w:val="20"/>
          <w:szCs w:val="20"/>
        </w:rPr>
        <w:t xml:space="preserve">Rely on previous assessments as to whether leases are onerous as opposed to preparing an impairment review under IAS 36 as at the date of initial application; and </w:t>
      </w:r>
    </w:p>
    <w:p w14:paraId="3CB257F9" w14:textId="77777777" w:rsidR="00E74C34" w:rsidRPr="001B02FE" w:rsidRDefault="00E74C34" w:rsidP="00E74C34">
      <w:pPr>
        <w:pStyle w:val="ListParagraph"/>
        <w:numPr>
          <w:ilvl w:val="0"/>
          <w:numId w:val="47"/>
        </w:numPr>
        <w:tabs>
          <w:tab w:val="left" w:pos="540"/>
          <w:tab w:val="decimal" w:pos="5490"/>
          <w:tab w:val="decimal" w:pos="7020"/>
          <w:tab w:val="left" w:pos="8364"/>
          <w:tab w:val="decimal" w:pos="9000"/>
        </w:tabs>
        <w:spacing w:after="0" w:line="240" w:lineRule="auto"/>
        <w:jc w:val="both"/>
        <w:outlineLvl w:val="0"/>
        <w:rPr>
          <w:rFonts w:eastAsia="Times New Roman" w:cstheme="minorHAnsi"/>
          <w:sz w:val="20"/>
          <w:szCs w:val="20"/>
        </w:rPr>
      </w:pPr>
      <w:r w:rsidRPr="001B02FE">
        <w:rPr>
          <w:rFonts w:eastAsia="Times New Roman" w:cstheme="minorHAnsi"/>
          <w:sz w:val="20"/>
          <w:szCs w:val="20"/>
        </w:rPr>
        <w:t>Apply the exemption not to recognise right-of-use assets and liabilities for leases with less than 12 months of lease term remaining as of the date of initial application.</w:t>
      </w:r>
    </w:p>
    <w:p w14:paraId="20E5BC88" w14:textId="77777777" w:rsidR="00E74C34" w:rsidRPr="001B02FE" w:rsidRDefault="00E74C34" w:rsidP="00E74C34">
      <w:pPr>
        <w:pStyle w:val="ListParagraph"/>
        <w:numPr>
          <w:ilvl w:val="0"/>
          <w:numId w:val="47"/>
        </w:numPr>
        <w:tabs>
          <w:tab w:val="left" w:pos="540"/>
          <w:tab w:val="decimal" w:pos="5490"/>
          <w:tab w:val="decimal" w:pos="7020"/>
          <w:tab w:val="left" w:pos="8364"/>
          <w:tab w:val="decimal" w:pos="9000"/>
        </w:tabs>
        <w:spacing w:after="0" w:line="240" w:lineRule="auto"/>
        <w:jc w:val="both"/>
        <w:outlineLvl w:val="0"/>
        <w:rPr>
          <w:rFonts w:eastAsia="Times New Roman" w:cstheme="minorHAnsi"/>
          <w:sz w:val="20"/>
          <w:szCs w:val="20"/>
        </w:rPr>
      </w:pPr>
      <w:r w:rsidRPr="001B02FE">
        <w:rPr>
          <w:rFonts w:eastAsia="Times New Roman" w:cstheme="minorHAnsi"/>
          <w:sz w:val="20"/>
          <w:szCs w:val="20"/>
        </w:rPr>
        <w:t xml:space="preserve">Not to recognise lease liabilities for some leases of low value contracts.  </w:t>
      </w:r>
    </w:p>
    <w:p w14:paraId="6E6E637E" w14:textId="77777777" w:rsidR="00E74C34" w:rsidRPr="001B02FE" w:rsidRDefault="00E74C34" w:rsidP="00DA54F3">
      <w:pPr>
        <w:spacing w:after="0" w:line="240" w:lineRule="auto"/>
        <w:jc w:val="both"/>
        <w:rPr>
          <w:rFonts w:eastAsia="Times New Roman" w:cstheme="minorHAnsi"/>
          <w:b/>
          <w:sz w:val="20"/>
          <w:szCs w:val="20"/>
        </w:rPr>
      </w:pPr>
    </w:p>
    <w:p w14:paraId="6A21DCAA" w14:textId="77777777" w:rsidR="00DA54F3" w:rsidRPr="001B02FE" w:rsidRDefault="00DA54F3" w:rsidP="00DA54F3">
      <w:pPr>
        <w:spacing w:after="0" w:line="240" w:lineRule="auto"/>
        <w:jc w:val="both"/>
        <w:rPr>
          <w:rFonts w:eastAsia="Times New Roman" w:cstheme="minorHAnsi"/>
          <w:b/>
          <w:sz w:val="20"/>
          <w:szCs w:val="20"/>
        </w:rPr>
      </w:pPr>
    </w:p>
    <w:p w14:paraId="301B6776" w14:textId="45601B4E" w:rsidR="00DA54F3" w:rsidRPr="001B02FE" w:rsidRDefault="002606D7" w:rsidP="00DA54F3">
      <w:pPr>
        <w:spacing w:after="0" w:line="240" w:lineRule="auto"/>
        <w:jc w:val="both"/>
        <w:rPr>
          <w:rFonts w:eastAsia="Times New Roman" w:cstheme="minorHAnsi"/>
          <w:b/>
          <w:sz w:val="20"/>
          <w:szCs w:val="20"/>
        </w:rPr>
      </w:pPr>
      <w:r w:rsidRPr="001B02FE">
        <w:rPr>
          <w:rFonts w:eastAsia="Times New Roman" w:cstheme="minorHAnsi"/>
          <w:b/>
          <w:sz w:val="20"/>
          <w:szCs w:val="20"/>
        </w:rPr>
        <w:t>2</w:t>
      </w:r>
      <w:r w:rsidR="00DA54F3" w:rsidRPr="001B02FE">
        <w:rPr>
          <w:rFonts w:eastAsia="Times New Roman" w:cstheme="minorHAnsi"/>
          <w:b/>
          <w:sz w:val="20"/>
          <w:szCs w:val="20"/>
        </w:rPr>
        <w:t>.</w:t>
      </w:r>
      <w:r w:rsidR="00DA54F3" w:rsidRPr="001B02FE">
        <w:rPr>
          <w:rFonts w:eastAsia="Times New Roman" w:cstheme="minorHAnsi"/>
          <w:sz w:val="20"/>
          <w:szCs w:val="20"/>
        </w:rPr>
        <w:t xml:space="preserve"> </w:t>
      </w:r>
      <w:r w:rsidR="00DA54F3" w:rsidRPr="001B02FE">
        <w:rPr>
          <w:rFonts w:eastAsia="Times New Roman" w:cstheme="minorHAnsi"/>
          <w:b/>
          <w:sz w:val="20"/>
          <w:szCs w:val="20"/>
        </w:rPr>
        <w:t>Segmental reporting</w:t>
      </w:r>
    </w:p>
    <w:p w14:paraId="265CDD74" w14:textId="77777777"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sz w:val="20"/>
          <w:szCs w:val="20"/>
        </w:rPr>
        <w:t>Operating segments are identified on the basis of internal reporting and decision making. The Group’s Chief Operating Decision Maker (“CODM”) is considered to be the Board, with support from the senior management teams, as it is primarily responsible for the allocation of resources to segments and the assessments of performance by segment.</w:t>
      </w:r>
    </w:p>
    <w:p w14:paraId="53A87ED6" w14:textId="77777777" w:rsidR="00DA54F3" w:rsidRPr="001B02FE" w:rsidRDefault="00DA54F3" w:rsidP="00DA54F3">
      <w:pPr>
        <w:spacing w:after="0" w:line="240" w:lineRule="auto"/>
        <w:jc w:val="both"/>
        <w:rPr>
          <w:rFonts w:eastAsia="Times New Roman" w:cstheme="minorHAnsi"/>
          <w:sz w:val="20"/>
          <w:szCs w:val="20"/>
        </w:rPr>
      </w:pPr>
    </w:p>
    <w:p w14:paraId="0216AD77" w14:textId="77777777" w:rsidR="00DA54F3" w:rsidRPr="001B02FE" w:rsidRDefault="00DA54F3" w:rsidP="00DA54F3">
      <w:pPr>
        <w:spacing w:after="0" w:line="240" w:lineRule="auto"/>
        <w:jc w:val="both"/>
        <w:rPr>
          <w:rFonts w:eastAsia="Times New Roman" w:cstheme="minorHAnsi"/>
          <w:sz w:val="20"/>
          <w:szCs w:val="20"/>
        </w:rPr>
      </w:pPr>
      <w:bookmarkStart w:id="0" w:name="_Hlk33687601"/>
      <w:r w:rsidRPr="001B02FE">
        <w:rPr>
          <w:rFonts w:cstheme="minorHAnsi"/>
          <w:sz w:val="20"/>
          <w:szCs w:val="20"/>
        </w:rPr>
        <w:t>The Group's reportable segments have been split into the two businesses, SiS and PhD Nutrition. Operating segments are reported in a manner consistent with the internal reporting provided to the CODM as described above. The reportable segments have changed from prior year (the segments in the prior year being Core, USA, Italy, Australia and Football are now shown as part of the SiS Segment disclosed below). In 2020 the Group’s segments are customer channel.</w:t>
      </w:r>
      <w:r w:rsidRPr="001B02FE">
        <w:rPr>
          <w:rFonts w:eastAsia="Times New Roman" w:cstheme="minorHAnsi"/>
          <w:sz w:val="20"/>
          <w:szCs w:val="20"/>
        </w:rPr>
        <w:t xml:space="preserve"> The single largest customer makes up 9.2% of revenue and is not separately identified in segmental reporting.</w:t>
      </w:r>
    </w:p>
    <w:bookmarkEnd w:id="0"/>
    <w:p w14:paraId="3B0959EA" w14:textId="77777777" w:rsidR="00DA54F3" w:rsidRPr="001B02FE" w:rsidRDefault="00DA54F3" w:rsidP="00DA54F3">
      <w:pPr>
        <w:spacing w:after="0" w:line="240" w:lineRule="auto"/>
        <w:jc w:val="both"/>
        <w:rPr>
          <w:rFonts w:eastAsia="Times New Roman" w:cstheme="minorHAnsi"/>
          <w:sz w:val="20"/>
          <w:szCs w:val="20"/>
        </w:rPr>
      </w:pPr>
    </w:p>
    <w:p w14:paraId="70CB3BE0" w14:textId="77777777"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sz w:val="20"/>
          <w:szCs w:val="20"/>
        </w:rPr>
        <w:t xml:space="preserve">The Board uses revenue, reviewed regularly, as the key measure of the segment’s performance. </w:t>
      </w:r>
    </w:p>
    <w:p w14:paraId="3FC4F75D" w14:textId="77777777" w:rsidR="00DA54F3" w:rsidRPr="001B02FE" w:rsidRDefault="00DA54F3" w:rsidP="00DA54F3">
      <w:pPr>
        <w:spacing w:after="0" w:line="240" w:lineRule="auto"/>
        <w:jc w:val="both"/>
        <w:rPr>
          <w:rFonts w:eastAsia="Times New Roman" w:cstheme="minorHAnsi"/>
          <w:sz w:val="20"/>
          <w:szCs w:val="20"/>
        </w:rPr>
      </w:pPr>
    </w:p>
    <w:tbl>
      <w:tblPr>
        <w:tblW w:w="9760" w:type="dxa"/>
        <w:tblLook w:val="04A0" w:firstRow="1" w:lastRow="0" w:firstColumn="1" w:lastColumn="0" w:noHBand="0" w:noVBand="1"/>
      </w:tblPr>
      <w:tblGrid>
        <w:gridCol w:w="2800"/>
        <w:gridCol w:w="1099"/>
        <w:gridCol w:w="1099"/>
        <w:gridCol w:w="1282"/>
        <w:gridCol w:w="1173"/>
        <w:gridCol w:w="938"/>
        <w:gridCol w:w="1369"/>
      </w:tblGrid>
      <w:tr w:rsidR="00DA54F3" w:rsidRPr="001B02FE" w14:paraId="009DF026" w14:textId="77777777" w:rsidTr="00A535DB">
        <w:trPr>
          <w:trHeight w:val="290"/>
        </w:trPr>
        <w:tc>
          <w:tcPr>
            <w:tcW w:w="2800" w:type="dxa"/>
            <w:tcBorders>
              <w:top w:val="nil"/>
              <w:left w:val="nil"/>
              <w:bottom w:val="nil"/>
              <w:right w:val="nil"/>
            </w:tcBorders>
            <w:shd w:val="clear" w:color="000000" w:fill="FFFFFF"/>
            <w:noWrap/>
            <w:vAlign w:val="center"/>
            <w:hideMark/>
          </w:tcPr>
          <w:p w14:paraId="02526F59"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3480" w:type="dxa"/>
            <w:gridSpan w:val="3"/>
            <w:tcBorders>
              <w:top w:val="nil"/>
              <w:left w:val="nil"/>
              <w:bottom w:val="nil"/>
              <w:right w:val="nil"/>
            </w:tcBorders>
            <w:shd w:val="clear" w:color="000000" w:fill="FFFFFF"/>
            <w:noWrap/>
            <w:vAlign w:val="center"/>
            <w:hideMark/>
          </w:tcPr>
          <w:p w14:paraId="2F866487"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2019</w:t>
            </w:r>
          </w:p>
        </w:tc>
        <w:tc>
          <w:tcPr>
            <w:tcW w:w="3480" w:type="dxa"/>
            <w:gridSpan w:val="3"/>
            <w:tcBorders>
              <w:top w:val="nil"/>
              <w:left w:val="nil"/>
              <w:bottom w:val="nil"/>
              <w:right w:val="nil"/>
            </w:tcBorders>
            <w:shd w:val="clear" w:color="000000" w:fill="FFFFFF"/>
            <w:noWrap/>
            <w:vAlign w:val="center"/>
            <w:hideMark/>
          </w:tcPr>
          <w:p w14:paraId="51CB558D"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2018</w:t>
            </w:r>
          </w:p>
        </w:tc>
      </w:tr>
      <w:tr w:rsidR="00DA54F3" w:rsidRPr="001B02FE" w14:paraId="3AEE38FE" w14:textId="77777777" w:rsidTr="00A535DB">
        <w:trPr>
          <w:trHeight w:val="290"/>
        </w:trPr>
        <w:tc>
          <w:tcPr>
            <w:tcW w:w="2800" w:type="dxa"/>
            <w:tcBorders>
              <w:top w:val="nil"/>
              <w:left w:val="nil"/>
              <w:bottom w:val="nil"/>
              <w:right w:val="nil"/>
            </w:tcBorders>
            <w:shd w:val="clear" w:color="000000" w:fill="FFFFFF"/>
            <w:noWrap/>
            <w:vAlign w:val="center"/>
            <w:hideMark/>
          </w:tcPr>
          <w:p w14:paraId="461280D3"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099" w:type="dxa"/>
            <w:tcBorders>
              <w:top w:val="nil"/>
              <w:left w:val="nil"/>
              <w:bottom w:val="nil"/>
              <w:right w:val="nil"/>
            </w:tcBorders>
            <w:shd w:val="clear" w:color="000000" w:fill="FFFFFF"/>
            <w:noWrap/>
            <w:vAlign w:val="center"/>
            <w:hideMark/>
          </w:tcPr>
          <w:p w14:paraId="4EE5002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SiS</w:t>
            </w:r>
          </w:p>
        </w:tc>
        <w:tc>
          <w:tcPr>
            <w:tcW w:w="1099" w:type="dxa"/>
            <w:tcBorders>
              <w:top w:val="nil"/>
              <w:left w:val="nil"/>
              <w:bottom w:val="nil"/>
              <w:right w:val="nil"/>
            </w:tcBorders>
            <w:shd w:val="clear" w:color="000000" w:fill="FFFFFF"/>
            <w:noWrap/>
            <w:vAlign w:val="center"/>
            <w:hideMark/>
          </w:tcPr>
          <w:p w14:paraId="424309B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PhD</w:t>
            </w:r>
          </w:p>
        </w:tc>
        <w:tc>
          <w:tcPr>
            <w:tcW w:w="1282" w:type="dxa"/>
            <w:tcBorders>
              <w:top w:val="nil"/>
              <w:left w:val="nil"/>
              <w:bottom w:val="nil"/>
              <w:right w:val="nil"/>
            </w:tcBorders>
            <w:shd w:val="clear" w:color="000000" w:fill="FFFFFF"/>
            <w:noWrap/>
            <w:vAlign w:val="center"/>
            <w:hideMark/>
          </w:tcPr>
          <w:p w14:paraId="20D8AADE"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Total</w:t>
            </w:r>
          </w:p>
        </w:tc>
        <w:tc>
          <w:tcPr>
            <w:tcW w:w="1173" w:type="dxa"/>
            <w:tcBorders>
              <w:top w:val="nil"/>
              <w:left w:val="nil"/>
              <w:bottom w:val="nil"/>
              <w:right w:val="nil"/>
            </w:tcBorders>
            <w:shd w:val="clear" w:color="000000" w:fill="FFFFFF"/>
            <w:noWrap/>
            <w:vAlign w:val="center"/>
            <w:hideMark/>
          </w:tcPr>
          <w:p w14:paraId="331FC404"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SiS</w:t>
            </w:r>
          </w:p>
        </w:tc>
        <w:tc>
          <w:tcPr>
            <w:tcW w:w="938" w:type="dxa"/>
            <w:tcBorders>
              <w:top w:val="nil"/>
              <w:left w:val="nil"/>
              <w:bottom w:val="nil"/>
              <w:right w:val="nil"/>
            </w:tcBorders>
            <w:shd w:val="clear" w:color="000000" w:fill="FFFFFF"/>
            <w:noWrap/>
            <w:vAlign w:val="center"/>
            <w:hideMark/>
          </w:tcPr>
          <w:p w14:paraId="64AF9E39"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PhD</w:t>
            </w:r>
          </w:p>
        </w:tc>
        <w:tc>
          <w:tcPr>
            <w:tcW w:w="1369" w:type="dxa"/>
            <w:tcBorders>
              <w:top w:val="nil"/>
              <w:left w:val="nil"/>
              <w:bottom w:val="nil"/>
              <w:right w:val="nil"/>
            </w:tcBorders>
            <w:shd w:val="clear" w:color="000000" w:fill="FFFFFF"/>
            <w:noWrap/>
            <w:vAlign w:val="center"/>
            <w:hideMark/>
          </w:tcPr>
          <w:p w14:paraId="4055E991"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Total</w:t>
            </w:r>
          </w:p>
        </w:tc>
      </w:tr>
      <w:tr w:rsidR="00DA54F3" w:rsidRPr="001B02FE" w14:paraId="5561BF18" w14:textId="77777777" w:rsidTr="00A535DB">
        <w:trPr>
          <w:trHeight w:val="290"/>
        </w:trPr>
        <w:tc>
          <w:tcPr>
            <w:tcW w:w="2800" w:type="dxa"/>
            <w:tcBorders>
              <w:top w:val="nil"/>
              <w:left w:val="nil"/>
              <w:bottom w:val="nil"/>
              <w:right w:val="nil"/>
            </w:tcBorders>
            <w:shd w:val="clear" w:color="000000" w:fill="FFFFFF"/>
            <w:noWrap/>
            <w:vAlign w:val="center"/>
            <w:hideMark/>
          </w:tcPr>
          <w:p w14:paraId="600D2F87"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099" w:type="dxa"/>
            <w:tcBorders>
              <w:top w:val="nil"/>
              <w:left w:val="nil"/>
              <w:bottom w:val="nil"/>
              <w:right w:val="nil"/>
            </w:tcBorders>
            <w:shd w:val="clear" w:color="000000" w:fill="FFFFFF"/>
            <w:noWrap/>
            <w:vAlign w:val="center"/>
            <w:hideMark/>
          </w:tcPr>
          <w:p w14:paraId="74E54447"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1099" w:type="dxa"/>
            <w:tcBorders>
              <w:top w:val="nil"/>
              <w:left w:val="nil"/>
              <w:bottom w:val="nil"/>
              <w:right w:val="nil"/>
            </w:tcBorders>
            <w:shd w:val="clear" w:color="000000" w:fill="FFFFFF"/>
            <w:noWrap/>
            <w:vAlign w:val="center"/>
            <w:hideMark/>
          </w:tcPr>
          <w:p w14:paraId="1A7949C3"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1282" w:type="dxa"/>
            <w:tcBorders>
              <w:top w:val="nil"/>
              <w:left w:val="nil"/>
              <w:bottom w:val="nil"/>
              <w:right w:val="nil"/>
            </w:tcBorders>
            <w:shd w:val="clear" w:color="000000" w:fill="FFFFFF"/>
            <w:noWrap/>
            <w:vAlign w:val="center"/>
            <w:hideMark/>
          </w:tcPr>
          <w:p w14:paraId="3A0F7BF5"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1173" w:type="dxa"/>
            <w:tcBorders>
              <w:top w:val="nil"/>
              <w:left w:val="nil"/>
              <w:bottom w:val="nil"/>
              <w:right w:val="nil"/>
            </w:tcBorders>
            <w:shd w:val="clear" w:color="000000" w:fill="FFFFFF"/>
            <w:noWrap/>
            <w:vAlign w:val="center"/>
            <w:hideMark/>
          </w:tcPr>
          <w:p w14:paraId="7F132FB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c>
          <w:tcPr>
            <w:tcW w:w="938" w:type="dxa"/>
            <w:tcBorders>
              <w:top w:val="nil"/>
              <w:left w:val="nil"/>
              <w:bottom w:val="nil"/>
              <w:right w:val="nil"/>
            </w:tcBorders>
            <w:shd w:val="clear" w:color="000000" w:fill="FFFFFF"/>
            <w:noWrap/>
            <w:vAlign w:val="center"/>
            <w:hideMark/>
          </w:tcPr>
          <w:p w14:paraId="1E1B0EF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c>
          <w:tcPr>
            <w:tcW w:w="1369" w:type="dxa"/>
            <w:tcBorders>
              <w:top w:val="nil"/>
              <w:left w:val="nil"/>
              <w:bottom w:val="nil"/>
              <w:right w:val="nil"/>
            </w:tcBorders>
            <w:shd w:val="clear" w:color="000000" w:fill="FFFFFF"/>
            <w:noWrap/>
            <w:vAlign w:val="center"/>
            <w:hideMark/>
          </w:tcPr>
          <w:p w14:paraId="0F19370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r>
      <w:tr w:rsidR="00DA54F3" w:rsidRPr="001B02FE" w14:paraId="1F42A099" w14:textId="77777777" w:rsidTr="00A535DB">
        <w:trPr>
          <w:trHeight w:val="290"/>
        </w:trPr>
        <w:tc>
          <w:tcPr>
            <w:tcW w:w="2800" w:type="dxa"/>
            <w:tcBorders>
              <w:top w:val="nil"/>
              <w:left w:val="nil"/>
              <w:bottom w:val="single" w:sz="4" w:space="0" w:color="auto"/>
              <w:right w:val="nil"/>
            </w:tcBorders>
            <w:shd w:val="clear" w:color="000000" w:fill="FFFFFF"/>
            <w:noWrap/>
            <w:vAlign w:val="center"/>
            <w:hideMark/>
          </w:tcPr>
          <w:p w14:paraId="21ECDF9A"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Sales</w:t>
            </w:r>
          </w:p>
        </w:tc>
        <w:tc>
          <w:tcPr>
            <w:tcW w:w="1099" w:type="dxa"/>
            <w:tcBorders>
              <w:top w:val="nil"/>
              <w:left w:val="nil"/>
              <w:bottom w:val="single" w:sz="4" w:space="0" w:color="auto"/>
              <w:right w:val="nil"/>
            </w:tcBorders>
            <w:shd w:val="clear" w:color="000000" w:fill="FFFFFF"/>
            <w:noWrap/>
            <w:vAlign w:val="center"/>
            <w:hideMark/>
          </w:tcPr>
          <w:p w14:paraId="174ACF4B"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24,601</w:t>
            </w:r>
          </w:p>
        </w:tc>
        <w:tc>
          <w:tcPr>
            <w:tcW w:w="1099" w:type="dxa"/>
            <w:tcBorders>
              <w:top w:val="nil"/>
              <w:left w:val="nil"/>
              <w:bottom w:val="single" w:sz="4" w:space="0" w:color="auto"/>
              <w:right w:val="nil"/>
            </w:tcBorders>
            <w:shd w:val="clear" w:color="000000" w:fill="FFFFFF"/>
            <w:noWrap/>
            <w:vAlign w:val="center"/>
            <w:hideMark/>
          </w:tcPr>
          <w:p w14:paraId="2BFF3A80"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25,972</w:t>
            </w:r>
          </w:p>
        </w:tc>
        <w:tc>
          <w:tcPr>
            <w:tcW w:w="1282" w:type="dxa"/>
            <w:tcBorders>
              <w:top w:val="nil"/>
              <w:left w:val="nil"/>
              <w:bottom w:val="single" w:sz="4" w:space="0" w:color="auto"/>
              <w:right w:val="nil"/>
            </w:tcBorders>
            <w:shd w:val="clear" w:color="000000" w:fill="FFFFFF"/>
            <w:noWrap/>
            <w:vAlign w:val="center"/>
            <w:hideMark/>
          </w:tcPr>
          <w:p w14:paraId="79741A90"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50,573</w:t>
            </w:r>
          </w:p>
        </w:tc>
        <w:tc>
          <w:tcPr>
            <w:tcW w:w="1173" w:type="dxa"/>
            <w:tcBorders>
              <w:top w:val="nil"/>
              <w:left w:val="nil"/>
              <w:bottom w:val="single" w:sz="4" w:space="0" w:color="auto"/>
              <w:right w:val="nil"/>
            </w:tcBorders>
            <w:shd w:val="clear" w:color="000000" w:fill="FFFFFF"/>
            <w:noWrap/>
            <w:vAlign w:val="center"/>
            <w:hideMark/>
          </w:tcPr>
          <w:p w14:paraId="762BECE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19,813</w:t>
            </w:r>
          </w:p>
        </w:tc>
        <w:tc>
          <w:tcPr>
            <w:tcW w:w="938" w:type="dxa"/>
            <w:tcBorders>
              <w:top w:val="nil"/>
              <w:left w:val="nil"/>
              <w:bottom w:val="single" w:sz="4" w:space="0" w:color="auto"/>
              <w:right w:val="nil"/>
            </w:tcBorders>
            <w:shd w:val="clear" w:color="000000" w:fill="FFFFFF"/>
            <w:noWrap/>
            <w:vAlign w:val="center"/>
            <w:hideMark/>
          </w:tcPr>
          <w:p w14:paraId="0E2BB3E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1,505</w:t>
            </w:r>
          </w:p>
        </w:tc>
        <w:tc>
          <w:tcPr>
            <w:tcW w:w="1369" w:type="dxa"/>
            <w:tcBorders>
              <w:top w:val="nil"/>
              <w:left w:val="nil"/>
              <w:bottom w:val="single" w:sz="4" w:space="0" w:color="auto"/>
              <w:right w:val="nil"/>
            </w:tcBorders>
            <w:shd w:val="clear" w:color="000000" w:fill="FFFFFF"/>
            <w:noWrap/>
            <w:vAlign w:val="center"/>
            <w:hideMark/>
          </w:tcPr>
          <w:p w14:paraId="3DA287D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21,318</w:t>
            </w:r>
          </w:p>
        </w:tc>
      </w:tr>
      <w:tr w:rsidR="00DA54F3" w:rsidRPr="001B02FE" w14:paraId="72C25367" w14:textId="77777777" w:rsidTr="00A535DB">
        <w:trPr>
          <w:trHeight w:val="290"/>
        </w:trPr>
        <w:tc>
          <w:tcPr>
            <w:tcW w:w="2800" w:type="dxa"/>
            <w:tcBorders>
              <w:top w:val="nil"/>
              <w:left w:val="nil"/>
              <w:bottom w:val="nil"/>
              <w:right w:val="nil"/>
            </w:tcBorders>
            <w:shd w:val="clear" w:color="000000" w:fill="FFFFFF"/>
            <w:noWrap/>
            <w:vAlign w:val="center"/>
            <w:hideMark/>
          </w:tcPr>
          <w:p w14:paraId="5A17BE5C"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Gross profit</w:t>
            </w:r>
          </w:p>
        </w:tc>
        <w:tc>
          <w:tcPr>
            <w:tcW w:w="1099" w:type="dxa"/>
            <w:tcBorders>
              <w:top w:val="nil"/>
              <w:left w:val="nil"/>
              <w:bottom w:val="nil"/>
              <w:right w:val="nil"/>
            </w:tcBorders>
            <w:shd w:val="clear" w:color="000000" w:fill="FFFFFF"/>
            <w:noWrap/>
            <w:vAlign w:val="center"/>
            <w:hideMark/>
          </w:tcPr>
          <w:p w14:paraId="5BEEB2C7"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13,899</w:t>
            </w:r>
          </w:p>
        </w:tc>
        <w:tc>
          <w:tcPr>
            <w:tcW w:w="1099" w:type="dxa"/>
            <w:tcBorders>
              <w:top w:val="nil"/>
              <w:left w:val="nil"/>
              <w:bottom w:val="nil"/>
              <w:right w:val="nil"/>
            </w:tcBorders>
            <w:shd w:val="clear" w:color="000000" w:fill="FFFFFF"/>
            <w:noWrap/>
            <w:vAlign w:val="center"/>
            <w:hideMark/>
          </w:tcPr>
          <w:p w14:paraId="6F4D5096"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8,308</w:t>
            </w:r>
          </w:p>
        </w:tc>
        <w:tc>
          <w:tcPr>
            <w:tcW w:w="1282" w:type="dxa"/>
            <w:tcBorders>
              <w:top w:val="nil"/>
              <w:left w:val="nil"/>
              <w:bottom w:val="nil"/>
              <w:right w:val="nil"/>
            </w:tcBorders>
            <w:shd w:val="clear" w:color="000000" w:fill="FFFFFF"/>
            <w:noWrap/>
            <w:vAlign w:val="center"/>
            <w:hideMark/>
          </w:tcPr>
          <w:p w14:paraId="04197199"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22,207</w:t>
            </w:r>
          </w:p>
        </w:tc>
        <w:tc>
          <w:tcPr>
            <w:tcW w:w="1173" w:type="dxa"/>
            <w:tcBorders>
              <w:top w:val="nil"/>
              <w:left w:val="nil"/>
              <w:bottom w:val="nil"/>
              <w:right w:val="nil"/>
            </w:tcBorders>
            <w:shd w:val="clear" w:color="000000" w:fill="FFFFFF"/>
            <w:noWrap/>
            <w:vAlign w:val="center"/>
            <w:hideMark/>
          </w:tcPr>
          <w:p w14:paraId="5F27ABA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11,526</w:t>
            </w:r>
          </w:p>
        </w:tc>
        <w:tc>
          <w:tcPr>
            <w:tcW w:w="938" w:type="dxa"/>
            <w:tcBorders>
              <w:top w:val="nil"/>
              <w:left w:val="nil"/>
              <w:bottom w:val="nil"/>
              <w:right w:val="nil"/>
            </w:tcBorders>
            <w:shd w:val="clear" w:color="000000" w:fill="FFFFFF"/>
            <w:noWrap/>
            <w:vAlign w:val="center"/>
            <w:hideMark/>
          </w:tcPr>
          <w:p w14:paraId="0FF14B4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429</w:t>
            </w:r>
          </w:p>
        </w:tc>
        <w:tc>
          <w:tcPr>
            <w:tcW w:w="1369" w:type="dxa"/>
            <w:tcBorders>
              <w:top w:val="nil"/>
              <w:left w:val="nil"/>
              <w:bottom w:val="nil"/>
              <w:right w:val="nil"/>
            </w:tcBorders>
            <w:shd w:val="clear" w:color="000000" w:fill="FFFFFF"/>
            <w:noWrap/>
            <w:vAlign w:val="center"/>
            <w:hideMark/>
          </w:tcPr>
          <w:p w14:paraId="36E10D27"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11,955</w:t>
            </w:r>
          </w:p>
        </w:tc>
      </w:tr>
      <w:tr w:rsidR="00DA54F3" w:rsidRPr="001B02FE" w14:paraId="1711BE86" w14:textId="77777777" w:rsidTr="00A535DB">
        <w:trPr>
          <w:trHeight w:val="290"/>
        </w:trPr>
        <w:tc>
          <w:tcPr>
            <w:tcW w:w="2800" w:type="dxa"/>
            <w:tcBorders>
              <w:top w:val="nil"/>
              <w:left w:val="nil"/>
              <w:bottom w:val="nil"/>
              <w:right w:val="nil"/>
            </w:tcBorders>
            <w:shd w:val="clear" w:color="000000" w:fill="FFFFFF"/>
            <w:noWrap/>
            <w:vAlign w:val="center"/>
            <w:hideMark/>
          </w:tcPr>
          <w:p w14:paraId="24068623"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Advertising and promotions</w:t>
            </w:r>
          </w:p>
        </w:tc>
        <w:tc>
          <w:tcPr>
            <w:tcW w:w="1099" w:type="dxa"/>
            <w:tcBorders>
              <w:top w:val="nil"/>
              <w:left w:val="nil"/>
              <w:bottom w:val="nil"/>
              <w:right w:val="nil"/>
            </w:tcBorders>
            <w:shd w:val="clear" w:color="000000" w:fill="FFFFFF"/>
            <w:noWrap/>
            <w:vAlign w:val="center"/>
            <w:hideMark/>
          </w:tcPr>
          <w:p w14:paraId="2954BFF6"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(5,978)</w:t>
            </w:r>
          </w:p>
        </w:tc>
        <w:tc>
          <w:tcPr>
            <w:tcW w:w="1099" w:type="dxa"/>
            <w:tcBorders>
              <w:top w:val="nil"/>
              <w:left w:val="nil"/>
              <w:bottom w:val="nil"/>
              <w:right w:val="nil"/>
            </w:tcBorders>
            <w:shd w:val="clear" w:color="000000" w:fill="FFFFFF"/>
            <w:noWrap/>
            <w:vAlign w:val="center"/>
            <w:hideMark/>
          </w:tcPr>
          <w:p w14:paraId="335512A4"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(1,961)</w:t>
            </w:r>
          </w:p>
        </w:tc>
        <w:tc>
          <w:tcPr>
            <w:tcW w:w="1282" w:type="dxa"/>
            <w:tcBorders>
              <w:top w:val="nil"/>
              <w:left w:val="nil"/>
              <w:bottom w:val="nil"/>
              <w:right w:val="nil"/>
            </w:tcBorders>
            <w:shd w:val="clear" w:color="000000" w:fill="FFFFFF"/>
            <w:noWrap/>
            <w:vAlign w:val="center"/>
            <w:hideMark/>
          </w:tcPr>
          <w:p w14:paraId="61B8E1FC"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(7,939)</w:t>
            </w:r>
          </w:p>
        </w:tc>
        <w:tc>
          <w:tcPr>
            <w:tcW w:w="1173" w:type="dxa"/>
            <w:tcBorders>
              <w:top w:val="nil"/>
              <w:left w:val="nil"/>
              <w:bottom w:val="nil"/>
              <w:right w:val="nil"/>
            </w:tcBorders>
            <w:shd w:val="clear" w:color="000000" w:fill="FFFFFF"/>
            <w:noWrap/>
            <w:vAlign w:val="center"/>
            <w:hideMark/>
          </w:tcPr>
          <w:p w14:paraId="0CC27A8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(5,391)</w:t>
            </w:r>
          </w:p>
        </w:tc>
        <w:tc>
          <w:tcPr>
            <w:tcW w:w="938" w:type="dxa"/>
            <w:tcBorders>
              <w:top w:val="nil"/>
              <w:left w:val="nil"/>
              <w:bottom w:val="nil"/>
              <w:right w:val="nil"/>
            </w:tcBorders>
            <w:shd w:val="clear" w:color="000000" w:fill="FFFFFF"/>
            <w:noWrap/>
            <w:vAlign w:val="center"/>
            <w:hideMark/>
          </w:tcPr>
          <w:p w14:paraId="1BE3822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(90)</w:t>
            </w:r>
          </w:p>
        </w:tc>
        <w:tc>
          <w:tcPr>
            <w:tcW w:w="1369" w:type="dxa"/>
            <w:tcBorders>
              <w:top w:val="nil"/>
              <w:left w:val="nil"/>
              <w:bottom w:val="nil"/>
              <w:right w:val="nil"/>
            </w:tcBorders>
            <w:shd w:val="clear" w:color="000000" w:fill="FFFFFF"/>
            <w:noWrap/>
            <w:vAlign w:val="center"/>
            <w:hideMark/>
          </w:tcPr>
          <w:p w14:paraId="02050EB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(5,481)</w:t>
            </w:r>
          </w:p>
        </w:tc>
      </w:tr>
      <w:tr w:rsidR="00DA54F3" w:rsidRPr="001B02FE" w14:paraId="10EC6B14" w14:textId="77777777" w:rsidTr="00A535DB">
        <w:trPr>
          <w:trHeight w:val="290"/>
        </w:trPr>
        <w:tc>
          <w:tcPr>
            <w:tcW w:w="2800" w:type="dxa"/>
            <w:tcBorders>
              <w:top w:val="nil"/>
              <w:left w:val="nil"/>
              <w:bottom w:val="single" w:sz="4" w:space="0" w:color="auto"/>
              <w:right w:val="nil"/>
            </w:tcBorders>
            <w:shd w:val="clear" w:color="000000" w:fill="FFFFFF"/>
            <w:noWrap/>
            <w:vAlign w:val="center"/>
            <w:hideMark/>
          </w:tcPr>
          <w:p w14:paraId="1EC6D7D3"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Carriage</w:t>
            </w:r>
          </w:p>
        </w:tc>
        <w:tc>
          <w:tcPr>
            <w:tcW w:w="1099" w:type="dxa"/>
            <w:tcBorders>
              <w:top w:val="nil"/>
              <w:left w:val="nil"/>
              <w:bottom w:val="single" w:sz="4" w:space="0" w:color="auto"/>
              <w:right w:val="nil"/>
            </w:tcBorders>
            <w:shd w:val="clear" w:color="000000" w:fill="FFFFFF"/>
            <w:noWrap/>
            <w:vAlign w:val="center"/>
            <w:hideMark/>
          </w:tcPr>
          <w:p w14:paraId="4D528C86"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(3,279)</w:t>
            </w:r>
          </w:p>
        </w:tc>
        <w:tc>
          <w:tcPr>
            <w:tcW w:w="1099" w:type="dxa"/>
            <w:tcBorders>
              <w:top w:val="nil"/>
              <w:left w:val="nil"/>
              <w:bottom w:val="single" w:sz="4" w:space="0" w:color="auto"/>
              <w:right w:val="nil"/>
            </w:tcBorders>
            <w:shd w:val="clear" w:color="000000" w:fill="FFFFFF"/>
            <w:noWrap/>
            <w:vAlign w:val="center"/>
            <w:hideMark/>
          </w:tcPr>
          <w:p w14:paraId="72E5C67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(1,273)</w:t>
            </w:r>
          </w:p>
        </w:tc>
        <w:tc>
          <w:tcPr>
            <w:tcW w:w="1282" w:type="dxa"/>
            <w:tcBorders>
              <w:top w:val="nil"/>
              <w:left w:val="nil"/>
              <w:bottom w:val="single" w:sz="4" w:space="0" w:color="auto"/>
              <w:right w:val="nil"/>
            </w:tcBorders>
            <w:shd w:val="clear" w:color="000000" w:fill="FFFFFF"/>
            <w:noWrap/>
            <w:vAlign w:val="center"/>
            <w:hideMark/>
          </w:tcPr>
          <w:p w14:paraId="73FBE8F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(4,552)</w:t>
            </w:r>
          </w:p>
        </w:tc>
        <w:tc>
          <w:tcPr>
            <w:tcW w:w="1173" w:type="dxa"/>
            <w:tcBorders>
              <w:top w:val="nil"/>
              <w:left w:val="nil"/>
              <w:bottom w:val="single" w:sz="4" w:space="0" w:color="auto"/>
              <w:right w:val="nil"/>
            </w:tcBorders>
            <w:shd w:val="clear" w:color="000000" w:fill="FFFFFF"/>
            <w:noWrap/>
            <w:vAlign w:val="center"/>
            <w:hideMark/>
          </w:tcPr>
          <w:p w14:paraId="22256A35"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(1,988)</w:t>
            </w:r>
          </w:p>
        </w:tc>
        <w:tc>
          <w:tcPr>
            <w:tcW w:w="938" w:type="dxa"/>
            <w:tcBorders>
              <w:top w:val="nil"/>
              <w:left w:val="nil"/>
              <w:bottom w:val="single" w:sz="4" w:space="0" w:color="auto"/>
              <w:right w:val="nil"/>
            </w:tcBorders>
            <w:shd w:val="clear" w:color="000000" w:fill="FFFFFF"/>
            <w:noWrap/>
            <w:vAlign w:val="center"/>
            <w:hideMark/>
          </w:tcPr>
          <w:p w14:paraId="10682D5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(75)</w:t>
            </w:r>
          </w:p>
        </w:tc>
        <w:tc>
          <w:tcPr>
            <w:tcW w:w="1369" w:type="dxa"/>
            <w:tcBorders>
              <w:top w:val="nil"/>
              <w:left w:val="nil"/>
              <w:bottom w:val="single" w:sz="4" w:space="0" w:color="auto"/>
              <w:right w:val="nil"/>
            </w:tcBorders>
            <w:shd w:val="clear" w:color="000000" w:fill="FFFFFF"/>
            <w:noWrap/>
            <w:vAlign w:val="center"/>
            <w:hideMark/>
          </w:tcPr>
          <w:p w14:paraId="079F9A3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(2,063)</w:t>
            </w:r>
          </w:p>
        </w:tc>
      </w:tr>
      <w:tr w:rsidR="00DA54F3" w:rsidRPr="001B02FE" w14:paraId="2711D5C3" w14:textId="77777777" w:rsidTr="00A535DB">
        <w:trPr>
          <w:trHeight w:val="290"/>
        </w:trPr>
        <w:tc>
          <w:tcPr>
            <w:tcW w:w="2800" w:type="dxa"/>
            <w:tcBorders>
              <w:top w:val="nil"/>
              <w:left w:val="nil"/>
              <w:bottom w:val="nil"/>
              <w:right w:val="nil"/>
            </w:tcBorders>
            <w:shd w:val="clear" w:color="000000" w:fill="FFFFFF"/>
            <w:noWrap/>
            <w:vAlign w:val="center"/>
            <w:hideMark/>
          </w:tcPr>
          <w:p w14:paraId="58D4A718"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Trading contribution</w:t>
            </w:r>
          </w:p>
        </w:tc>
        <w:tc>
          <w:tcPr>
            <w:tcW w:w="1099" w:type="dxa"/>
            <w:tcBorders>
              <w:top w:val="nil"/>
              <w:left w:val="nil"/>
              <w:bottom w:val="nil"/>
              <w:right w:val="nil"/>
            </w:tcBorders>
            <w:shd w:val="clear" w:color="000000" w:fill="FFFFFF"/>
            <w:noWrap/>
            <w:vAlign w:val="center"/>
            <w:hideMark/>
          </w:tcPr>
          <w:p w14:paraId="711B32D6"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4,642</w:t>
            </w:r>
          </w:p>
        </w:tc>
        <w:tc>
          <w:tcPr>
            <w:tcW w:w="1099" w:type="dxa"/>
            <w:tcBorders>
              <w:top w:val="nil"/>
              <w:left w:val="nil"/>
              <w:bottom w:val="nil"/>
              <w:right w:val="nil"/>
            </w:tcBorders>
            <w:shd w:val="clear" w:color="000000" w:fill="FFFFFF"/>
            <w:noWrap/>
            <w:vAlign w:val="center"/>
            <w:hideMark/>
          </w:tcPr>
          <w:p w14:paraId="3B7A23E5"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5,074</w:t>
            </w:r>
          </w:p>
        </w:tc>
        <w:tc>
          <w:tcPr>
            <w:tcW w:w="1282" w:type="dxa"/>
            <w:tcBorders>
              <w:top w:val="nil"/>
              <w:left w:val="nil"/>
              <w:bottom w:val="nil"/>
              <w:right w:val="nil"/>
            </w:tcBorders>
            <w:shd w:val="clear" w:color="000000" w:fill="FFFFFF"/>
            <w:noWrap/>
            <w:vAlign w:val="center"/>
            <w:hideMark/>
          </w:tcPr>
          <w:p w14:paraId="57BFCE40"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9,716</w:t>
            </w:r>
          </w:p>
        </w:tc>
        <w:tc>
          <w:tcPr>
            <w:tcW w:w="1173" w:type="dxa"/>
            <w:tcBorders>
              <w:top w:val="nil"/>
              <w:left w:val="nil"/>
              <w:bottom w:val="nil"/>
              <w:right w:val="nil"/>
            </w:tcBorders>
            <w:shd w:val="clear" w:color="000000" w:fill="FFFFFF"/>
            <w:noWrap/>
            <w:vAlign w:val="center"/>
            <w:hideMark/>
          </w:tcPr>
          <w:p w14:paraId="745840B8"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4,147</w:t>
            </w:r>
          </w:p>
        </w:tc>
        <w:tc>
          <w:tcPr>
            <w:tcW w:w="938" w:type="dxa"/>
            <w:tcBorders>
              <w:top w:val="nil"/>
              <w:left w:val="nil"/>
              <w:bottom w:val="nil"/>
              <w:right w:val="nil"/>
            </w:tcBorders>
            <w:shd w:val="clear" w:color="000000" w:fill="FFFFFF"/>
            <w:noWrap/>
            <w:vAlign w:val="center"/>
            <w:hideMark/>
          </w:tcPr>
          <w:p w14:paraId="78B7BA0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264</w:t>
            </w:r>
          </w:p>
        </w:tc>
        <w:tc>
          <w:tcPr>
            <w:tcW w:w="1369" w:type="dxa"/>
            <w:tcBorders>
              <w:top w:val="nil"/>
              <w:left w:val="nil"/>
              <w:bottom w:val="nil"/>
              <w:right w:val="nil"/>
            </w:tcBorders>
            <w:shd w:val="clear" w:color="000000" w:fill="FFFFFF"/>
            <w:noWrap/>
            <w:vAlign w:val="center"/>
            <w:hideMark/>
          </w:tcPr>
          <w:p w14:paraId="3B68304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4,411</w:t>
            </w:r>
          </w:p>
        </w:tc>
      </w:tr>
      <w:tr w:rsidR="00DA54F3" w:rsidRPr="001B02FE" w14:paraId="26BEEB42" w14:textId="77777777" w:rsidTr="00A535DB">
        <w:trPr>
          <w:trHeight w:val="290"/>
        </w:trPr>
        <w:tc>
          <w:tcPr>
            <w:tcW w:w="2800" w:type="dxa"/>
            <w:tcBorders>
              <w:top w:val="nil"/>
              <w:left w:val="nil"/>
              <w:bottom w:val="single" w:sz="4" w:space="0" w:color="auto"/>
              <w:right w:val="nil"/>
            </w:tcBorders>
            <w:shd w:val="clear" w:color="000000" w:fill="FFFFFF"/>
            <w:noWrap/>
            <w:vAlign w:val="center"/>
            <w:hideMark/>
          </w:tcPr>
          <w:p w14:paraId="724260DE"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Other operating expenses</w:t>
            </w:r>
          </w:p>
        </w:tc>
        <w:tc>
          <w:tcPr>
            <w:tcW w:w="1099" w:type="dxa"/>
            <w:tcBorders>
              <w:top w:val="nil"/>
              <w:left w:val="nil"/>
              <w:bottom w:val="single" w:sz="4" w:space="0" w:color="auto"/>
              <w:right w:val="nil"/>
            </w:tcBorders>
            <w:shd w:val="clear" w:color="000000" w:fill="FFFFFF"/>
            <w:noWrap/>
            <w:vAlign w:val="center"/>
            <w:hideMark/>
          </w:tcPr>
          <w:p w14:paraId="778B2C57"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 </w:t>
            </w:r>
          </w:p>
        </w:tc>
        <w:tc>
          <w:tcPr>
            <w:tcW w:w="1099" w:type="dxa"/>
            <w:tcBorders>
              <w:top w:val="nil"/>
              <w:left w:val="nil"/>
              <w:bottom w:val="single" w:sz="4" w:space="0" w:color="auto"/>
              <w:right w:val="nil"/>
            </w:tcBorders>
            <w:shd w:val="clear" w:color="000000" w:fill="FFFFFF"/>
            <w:noWrap/>
            <w:vAlign w:val="center"/>
            <w:hideMark/>
          </w:tcPr>
          <w:p w14:paraId="31310403"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 </w:t>
            </w:r>
          </w:p>
        </w:tc>
        <w:tc>
          <w:tcPr>
            <w:tcW w:w="1282" w:type="dxa"/>
            <w:tcBorders>
              <w:top w:val="nil"/>
              <w:left w:val="nil"/>
              <w:bottom w:val="single" w:sz="4" w:space="0" w:color="auto"/>
              <w:right w:val="nil"/>
            </w:tcBorders>
            <w:shd w:val="clear" w:color="000000" w:fill="FFFFFF"/>
            <w:noWrap/>
            <w:vAlign w:val="center"/>
            <w:hideMark/>
          </w:tcPr>
          <w:p w14:paraId="4073AB0D"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(14,761)</w:t>
            </w:r>
          </w:p>
        </w:tc>
        <w:tc>
          <w:tcPr>
            <w:tcW w:w="1173" w:type="dxa"/>
            <w:tcBorders>
              <w:top w:val="nil"/>
              <w:left w:val="nil"/>
              <w:bottom w:val="single" w:sz="4" w:space="0" w:color="auto"/>
              <w:right w:val="nil"/>
            </w:tcBorders>
            <w:shd w:val="clear" w:color="000000" w:fill="FFFFFF"/>
            <w:noWrap/>
            <w:vAlign w:val="center"/>
            <w:hideMark/>
          </w:tcPr>
          <w:p w14:paraId="3075E1E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38" w:type="dxa"/>
            <w:tcBorders>
              <w:top w:val="nil"/>
              <w:left w:val="nil"/>
              <w:bottom w:val="single" w:sz="4" w:space="0" w:color="auto"/>
              <w:right w:val="nil"/>
            </w:tcBorders>
            <w:shd w:val="clear" w:color="000000" w:fill="FFFFFF"/>
            <w:noWrap/>
            <w:vAlign w:val="center"/>
            <w:hideMark/>
          </w:tcPr>
          <w:p w14:paraId="3567F5A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369" w:type="dxa"/>
            <w:tcBorders>
              <w:top w:val="nil"/>
              <w:left w:val="nil"/>
              <w:bottom w:val="single" w:sz="4" w:space="0" w:color="auto"/>
              <w:right w:val="nil"/>
            </w:tcBorders>
            <w:shd w:val="clear" w:color="000000" w:fill="FFFFFF"/>
            <w:noWrap/>
            <w:vAlign w:val="center"/>
            <w:hideMark/>
          </w:tcPr>
          <w:p w14:paraId="7048750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(10,406)</w:t>
            </w:r>
          </w:p>
        </w:tc>
      </w:tr>
      <w:tr w:rsidR="00DA54F3" w:rsidRPr="001B02FE" w14:paraId="0BD7C1FA" w14:textId="77777777" w:rsidTr="00A535DB">
        <w:trPr>
          <w:trHeight w:val="300"/>
        </w:trPr>
        <w:tc>
          <w:tcPr>
            <w:tcW w:w="2800" w:type="dxa"/>
            <w:tcBorders>
              <w:top w:val="nil"/>
              <w:left w:val="nil"/>
              <w:bottom w:val="double" w:sz="6" w:space="0" w:color="auto"/>
              <w:right w:val="nil"/>
            </w:tcBorders>
            <w:shd w:val="clear" w:color="000000" w:fill="FFFFFF"/>
            <w:noWrap/>
            <w:vAlign w:val="center"/>
            <w:hideMark/>
          </w:tcPr>
          <w:p w14:paraId="055408BD"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Loss from Operations</w:t>
            </w:r>
          </w:p>
        </w:tc>
        <w:tc>
          <w:tcPr>
            <w:tcW w:w="1099" w:type="dxa"/>
            <w:tcBorders>
              <w:top w:val="nil"/>
              <w:left w:val="nil"/>
              <w:bottom w:val="double" w:sz="6" w:space="0" w:color="auto"/>
              <w:right w:val="nil"/>
            </w:tcBorders>
            <w:shd w:val="clear" w:color="000000" w:fill="FFFFFF"/>
            <w:noWrap/>
            <w:vAlign w:val="bottom"/>
            <w:hideMark/>
          </w:tcPr>
          <w:p w14:paraId="03DFF243"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099" w:type="dxa"/>
            <w:tcBorders>
              <w:top w:val="nil"/>
              <w:left w:val="nil"/>
              <w:bottom w:val="double" w:sz="6" w:space="0" w:color="auto"/>
              <w:right w:val="nil"/>
            </w:tcBorders>
            <w:shd w:val="clear" w:color="000000" w:fill="FFFFFF"/>
            <w:noWrap/>
            <w:vAlign w:val="bottom"/>
            <w:hideMark/>
          </w:tcPr>
          <w:p w14:paraId="415D9F46"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282" w:type="dxa"/>
            <w:tcBorders>
              <w:top w:val="nil"/>
              <w:left w:val="nil"/>
              <w:bottom w:val="double" w:sz="6" w:space="0" w:color="auto"/>
              <w:right w:val="nil"/>
            </w:tcBorders>
            <w:shd w:val="clear" w:color="000000" w:fill="FFFFFF"/>
            <w:noWrap/>
            <w:vAlign w:val="center"/>
            <w:hideMark/>
          </w:tcPr>
          <w:p w14:paraId="3FB41D57"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(5,045)</w:t>
            </w:r>
          </w:p>
        </w:tc>
        <w:tc>
          <w:tcPr>
            <w:tcW w:w="1173" w:type="dxa"/>
            <w:tcBorders>
              <w:top w:val="nil"/>
              <w:left w:val="nil"/>
              <w:bottom w:val="double" w:sz="6" w:space="0" w:color="auto"/>
              <w:right w:val="nil"/>
            </w:tcBorders>
            <w:shd w:val="clear" w:color="000000" w:fill="FFFFFF"/>
            <w:noWrap/>
            <w:vAlign w:val="bottom"/>
            <w:hideMark/>
          </w:tcPr>
          <w:p w14:paraId="7BD6756F"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38" w:type="dxa"/>
            <w:tcBorders>
              <w:top w:val="nil"/>
              <w:left w:val="nil"/>
              <w:bottom w:val="double" w:sz="6" w:space="0" w:color="auto"/>
              <w:right w:val="nil"/>
            </w:tcBorders>
            <w:shd w:val="clear" w:color="000000" w:fill="FFFFFF"/>
            <w:noWrap/>
            <w:vAlign w:val="bottom"/>
            <w:hideMark/>
          </w:tcPr>
          <w:p w14:paraId="6D641390"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369" w:type="dxa"/>
            <w:tcBorders>
              <w:top w:val="nil"/>
              <w:left w:val="nil"/>
              <w:bottom w:val="double" w:sz="6" w:space="0" w:color="auto"/>
              <w:right w:val="nil"/>
            </w:tcBorders>
            <w:shd w:val="clear" w:color="000000" w:fill="FFFFFF"/>
            <w:noWrap/>
            <w:vAlign w:val="center"/>
            <w:hideMark/>
          </w:tcPr>
          <w:p w14:paraId="334F7F6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(5,995)</w:t>
            </w:r>
          </w:p>
        </w:tc>
      </w:tr>
    </w:tbl>
    <w:p w14:paraId="6F395DB2" w14:textId="77777777" w:rsidR="00DA54F3" w:rsidRPr="001B02FE" w:rsidRDefault="00DA54F3" w:rsidP="00DA54F3">
      <w:pPr>
        <w:spacing w:after="0" w:line="240" w:lineRule="auto"/>
        <w:jc w:val="both"/>
        <w:rPr>
          <w:rFonts w:eastAsia="Times New Roman" w:cstheme="minorHAnsi"/>
          <w:sz w:val="20"/>
          <w:szCs w:val="20"/>
        </w:rPr>
      </w:pPr>
    </w:p>
    <w:p w14:paraId="06CC799E" w14:textId="77777777" w:rsidR="00DA54F3" w:rsidRPr="001B02FE" w:rsidRDefault="00DA54F3" w:rsidP="00DA54F3">
      <w:pPr>
        <w:spacing w:after="0" w:line="240" w:lineRule="auto"/>
        <w:jc w:val="both"/>
        <w:rPr>
          <w:rFonts w:eastAsia="Times New Roman" w:cstheme="minorHAnsi"/>
          <w:b/>
          <w:sz w:val="20"/>
          <w:szCs w:val="20"/>
        </w:rPr>
      </w:pPr>
    </w:p>
    <w:p w14:paraId="6D6250ED" w14:textId="13045A4D" w:rsidR="00DA54F3" w:rsidRPr="001B02FE" w:rsidRDefault="002606D7" w:rsidP="00DA54F3">
      <w:pPr>
        <w:spacing w:after="0" w:line="240" w:lineRule="auto"/>
        <w:jc w:val="both"/>
        <w:rPr>
          <w:rFonts w:eastAsia="Times New Roman" w:cstheme="minorHAnsi"/>
          <w:b/>
          <w:sz w:val="20"/>
          <w:szCs w:val="20"/>
        </w:rPr>
      </w:pPr>
      <w:r w:rsidRPr="001B02FE">
        <w:rPr>
          <w:rFonts w:eastAsia="Times New Roman" w:cstheme="minorHAnsi"/>
          <w:b/>
          <w:sz w:val="20"/>
          <w:szCs w:val="20"/>
        </w:rPr>
        <w:t>3</w:t>
      </w:r>
      <w:r w:rsidR="00DA54F3" w:rsidRPr="001B02FE">
        <w:rPr>
          <w:rFonts w:eastAsia="Times New Roman" w:cstheme="minorHAnsi"/>
          <w:b/>
          <w:sz w:val="20"/>
          <w:szCs w:val="20"/>
        </w:rPr>
        <w:t>. Revenue from contracts with customers</w:t>
      </w:r>
    </w:p>
    <w:p w14:paraId="6FC78C94" w14:textId="77777777" w:rsidR="00DA54F3" w:rsidRPr="001B02FE" w:rsidRDefault="00DA54F3" w:rsidP="00DA54F3">
      <w:pPr>
        <w:spacing w:after="0" w:line="240" w:lineRule="auto"/>
        <w:jc w:val="both"/>
        <w:rPr>
          <w:rFonts w:eastAsia="Times New Roman" w:cstheme="minorHAnsi"/>
          <w:bCs/>
          <w:sz w:val="20"/>
          <w:szCs w:val="20"/>
        </w:rPr>
      </w:pPr>
    </w:p>
    <w:p w14:paraId="55690CF7" w14:textId="77777777" w:rsidR="00DA54F3" w:rsidRPr="001B02FE" w:rsidRDefault="00DA54F3" w:rsidP="00DA54F3">
      <w:pPr>
        <w:spacing w:after="0" w:line="240" w:lineRule="auto"/>
        <w:jc w:val="both"/>
        <w:rPr>
          <w:rFonts w:cstheme="minorHAnsi"/>
          <w:color w:val="000000" w:themeColor="text1"/>
          <w:sz w:val="20"/>
          <w:szCs w:val="20"/>
        </w:rPr>
      </w:pPr>
      <w:r w:rsidRPr="001B02FE">
        <w:rPr>
          <w:rFonts w:eastAsia="Times New Roman" w:cstheme="minorHAnsi"/>
          <w:bCs/>
          <w:sz w:val="20"/>
          <w:szCs w:val="20"/>
        </w:rPr>
        <w:t xml:space="preserve">The group operates in four primary revenue channels. Management monitors revenue on this basis. E-Commerce is the </w:t>
      </w:r>
      <w:r w:rsidRPr="001B02FE">
        <w:rPr>
          <w:rFonts w:cstheme="minorHAnsi"/>
          <w:color w:val="000000" w:themeColor="text1"/>
          <w:sz w:val="20"/>
          <w:szCs w:val="20"/>
        </w:rPr>
        <w:t>phd.com and scienceinsport.com e-commerce platform</w:t>
      </w:r>
      <w:r w:rsidRPr="001B02FE">
        <w:rPr>
          <w:rFonts w:eastAsia="Times New Roman" w:cstheme="minorHAnsi"/>
          <w:bCs/>
          <w:sz w:val="20"/>
          <w:szCs w:val="20"/>
        </w:rPr>
        <w:t xml:space="preserve">, Export relates to customers out of the UK (that doesn’t relate to E-commerce or Market place), UK Retail includes the grocers and high street and Market place relates to </w:t>
      </w:r>
      <w:r w:rsidRPr="001B02FE">
        <w:rPr>
          <w:rFonts w:cstheme="minorHAnsi"/>
          <w:color w:val="000000" w:themeColor="text1"/>
          <w:sz w:val="20"/>
          <w:szCs w:val="20"/>
        </w:rPr>
        <w:t>Amazon and eBay platforms.</w:t>
      </w:r>
    </w:p>
    <w:p w14:paraId="3A233BAB" w14:textId="77777777" w:rsidR="00DA54F3" w:rsidRPr="001B02FE" w:rsidRDefault="00DA54F3" w:rsidP="00DA54F3">
      <w:pPr>
        <w:spacing w:after="0" w:line="240" w:lineRule="auto"/>
        <w:jc w:val="both"/>
        <w:rPr>
          <w:rFonts w:cstheme="minorHAnsi"/>
          <w:color w:val="000000" w:themeColor="text1"/>
          <w:sz w:val="20"/>
          <w:szCs w:val="20"/>
        </w:rPr>
      </w:pPr>
    </w:p>
    <w:tbl>
      <w:tblPr>
        <w:tblW w:w="10160" w:type="dxa"/>
        <w:tblLook w:val="04A0" w:firstRow="1" w:lastRow="0" w:firstColumn="1" w:lastColumn="0" w:noHBand="0" w:noVBand="1"/>
      </w:tblPr>
      <w:tblGrid>
        <w:gridCol w:w="2360"/>
        <w:gridCol w:w="1300"/>
        <w:gridCol w:w="1300"/>
        <w:gridCol w:w="1300"/>
        <w:gridCol w:w="1300"/>
        <w:gridCol w:w="1300"/>
        <w:gridCol w:w="1300"/>
      </w:tblGrid>
      <w:tr w:rsidR="00DA54F3" w:rsidRPr="001B02FE" w14:paraId="5B168E7D" w14:textId="77777777" w:rsidTr="00A535DB">
        <w:trPr>
          <w:trHeight w:val="290"/>
        </w:trPr>
        <w:tc>
          <w:tcPr>
            <w:tcW w:w="2360" w:type="dxa"/>
            <w:tcBorders>
              <w:top w:val="nil"/>
              <w:left w:val="nil"/>
              <w:bottom w:val="nil"/>
              <w:right w:val="nil"/>
            </w:tcBorders>
            <w:shd w:val="clear" w:color="000000" w:fill="FFFFFF"/>
            <w:noWrap/>
            <w:vAlign w:val="bottom"/>
            <w:hideMark/>
          </w:tcPr>
          <w:p w14:paraId="74B4E416"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300" w:type="dxa"/>
            <w:tcBorders>
              <w:top w:val="nil"/>
              <w:left w:val="nil"/>
              <w:bottom w:val="nil"/>
              <w:right w:val="nil"/>
            </w:tcBorders>
            <w:shd w:val="clear" w:color="000000" w:fill="FFFFFF"/>
            <w:noWrap/>
            <w:vAlign w:val="bottom"/>
            <w:hideMark/>
          </w:tcPr>
          <w:p w14:paraId="5A9F1F72"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300" w:type="dxa"/>
            <w:tcBorders>
              <w:top w:val="nil"/>
              <w:left w:val="nil"/>
              <w:bottom w:val="nil"/>
              <w:right w:val="nil"/>
            </w:tcBorders>
            <w:shd w:val="clear" w:color="000000" w:fill="FFFFFF"/>
            <w:noWrap/>
            <w:vAlign w:val="bottom"/>
            <w:hideMark/>
          </w:tcPr>
          <w:p w14:paraId="25863135"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2019</w:t>
            </w:r>
          </w:p>
        </w:tc>
        <w:tc>
          <w:tcPr>
            <w:tcW w:w="1300" w:type="dxa"/>
            <w:tcBorders>
              <w:top w:val="nil"/>
              <w:left w:val="nil"/>
              <w:bottom w:val="nil"/>
              <w:right w:val="nil"/>
            </w:tcBorders>
            <w:shd w:val="clear" w:color="000000" w:fill="FFFFFF"/>
            <w:noWrap/>
            <w:vAlign w:val="bottom"/>
            <w:hideMark/>
          </w:tcPr>
          <w:p w14:paraId="281A7B19"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300" w:type="dxa"/>
            <w:tcBorders>
              <w:top w:val="nil"/>
              <w:left w:val="nil"/>
              <w:bottom w:val="nil"/>
              <w:right w:val="nil"/>
            </w:tcBorders>
            <w:shd w:val="clear" w:color="000000" w:fill="FFFFFF"/>
            <w:noWrap/>
            <w:vAlign w:val="bottom"/>
            <w:hideMark/>
          </w:tcPr>
          <w:p w14:paraId="1AF13471"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300" w:type="dxa"/>
            <w:tcBorders>
              <w:top w:val="nil"/>
              <w:left w:val="nil"/>
              <w:bottom w:val="nil"/>
              <w:right w:val="nil"/>
            </w:tcBorders>
            <w:shd w:val="clear" w:color="000000" w:fill="FFFFFF"/>
            <w:noWrap/>
            <w:vAlign w:val="bottom"/>
            <w:hideMark/>
          </w:tcPr>
          <w:p w14:paraId="32759C0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2018</w:t>
            </w:r>
          </w:p>
        </w:tc>
        <w:tc>
          <w:tcPr>
            <w:tcW w:w="1300" w:type="dxa"/>
            <w:tcBorders>
              <w:top w:val="nil"/>
              <w:left w:val="nil"/>
              <w:bottom w:val="nil"/>
              <w:right w:val="nil"/>
            </w:tcBorders>
            <w:shd w:val="clear" w:color="000000" w:fill="FFFFFF"/>
            <w:noWrap/>
            <w:vAlign w:val="bottom"/>
            <w:hideMark/>
          </w:tcPr>
          <w:p w14:paraId="64EFB599"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r>
      <w:tr w:rsidR="00DA54F3" w:rsidRPr="001B02FE" w14:paraId="714265F8" w14:textId="77777777" w:rsidTr="00A535DB">
        <w:trPr>
          <w:trHeight w:val="290"/>
        </w:trPr>
        <w:tc>
          <w:tcPr>
            <w:tcW w:w="2360" w:type="dxa"/>
            <w:tcBorders>
              <w:top w:val="nil"/>
              <w:left w:val="nil"/>
              <w:bottom w:val="nil"/>
              <w:right w:val="nil"/>
            </w:tcBorders>
            <w:shd w:val="clear" w:color="000000" w:fill="FFFFFF"/>
            <w:noWrap/>
            <w:vAlign w:val="bottom"/>
            <w:hideMark/>
          </w:tcPr>
          <w:p w14:paraId="0B653E6F"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300" w:type="dxa"/>
            <w:tcBorders>
              <w:top w:val="nil"/>
              <w:left w:val="nil"/>
              <w:bottom w:val="nil"/>
              <w:right w:val="nil"/>
            </w:tcBorders>
            <w:shd w:val="clear" w:color="000000" w:fill="FFFFFF"/>
            <w:noWrap/>
            <w:vAlign w:val="center"/>
            <w:hideMark/>
          </w:tcPr>
          <w:p w14:paraId="4618E6D0"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SiS</w:t>
            </w:r>
          </w:p>
        </w:tc>
        <w:tc>
          <w:tcPr>
            <w:tcW w:w="1300" w:type="dxa"/>
            <w:tcBorders>
              <w:top w:val="nil"/>
              <w:left w:val="nil"/>
              <w:bottom w:val="nil"/>
              <w:right w:val="nil"/>
            </w:tcBorders>
            <w:shd w:val="clear" w:color="000000" w:fill="FFFFFF"/>
            <w:noWrap/>
            <w:vAlign w:val="center"/>
            <w:hideMark/>
          </w:tcPr>
          <w:p w14:paraId="445BA62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PhD</w:t>
            </w:r>
          </w:p>
        </w:tc>
        <w:tc>
          <w:tcPr>
            <w:tcW w:w="1300" w:type="dxa"/>
            <w:tcBorders>
              <w:top w:val="nil"/>
              <w:left w:val="nil"/>
              <w:bottom w:val="nil"/>
              <w:right w:val="nil"/>
            </w:tcBorders>
            <w:shd w:val="clear" w:color="000000" w:fill="FFFFFF"/>
            <w:noWrap/>
            <w:vAlign w:val="center"/>
            <w:hideMark/>
          </w:tcPr>
          <w:p w14:paraId="0B0147C3"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Total</w:t>
            </w:r>
          </w:p>
        </w:tc>
        <w:tc>
          <w:tcPr>
            <w:tcW w:w="1300" w:type="dxa"/>
            <w:tcBorders>
              <w:top w:val="nil"/>
              <w:left w:val="nil"/>
              <w:bottom w:val="nil"/>
              <w:right w:val="nil"/>
            </w:tcBorders>
            <w:shd w:val="clear" w:color="000000" w:fill="FFFFFF"/>
            <w:noWrap/>
            <w:vAlign w:val="center"/>
            <w:hideMark/>
          </w:tcPr>
          <w:p w14:paraId="4B2ABC69"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SiS</w:t>
            </w:r>
          </w:p>
        </w:tc>
        <w:tc>
          <w:tcPr>
            <w:tcW w:w="1300" w:type="dxa"/>
            <w:tcBorders>
              <w:top w:val="nil"/>
              <w:left w:val="nil"/>
              <w:bottom w:val="nil"/>
              <w:right w:val="nil"/>
            </w:tcBorders>
            <w:shd w:val="clear" w:color="000000" w:fill="FFFFFF"/>
            <w:noWrap/>
            <w:vAlign w:val="center"/>
            <w:hideMark/>
          </w:tcPr>
          <w:p w14:paraId="418AE74E"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PhD</w:t>
            </w:r>
          </w:p>
        </w:tc>
        <w:tc>
          <w:tcPr>
            <w:tcW w:w="1300" w:type="dxa"/>
            <w:tcBorders>
              <w:top w:val="nil"/>
              <w:left w:val="nil"/>
              <w:bottom w:val="nil"/>
              <w:right w:val="nil"/>
            </w:tcBorders>
            <w:shd w:val="clear" w:color="000000" w:fill="FFFFFF"/>
            <w:noWrap/>
            <w:vAlign w:val="center"/>
            <w:hideMark/>
          </w:tcPr>
          <w:p w14:paraId="08D8690A"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Total</w:t>
            </w:r>
          </w:p>
        </w:tc>
      </w:tr>
      <w:tr w:rsidR="00DA54F3" w:rsidRPr="001B02FE" w14:paraId="3F0E9EC9" w14:textId="77777777" w:rsidTr="00A535DB">
        <w:trPr>
          <w:trHeight w:val="290"/>
        </w:trPr>
        <w:tc>
          <w:tcPr>
            <w:tcW w:w="2360" w:type="dxa"/>
            <w:tcBorders>
              <w:top w:val="nil"/>
              <w:left w:val="nil"/>
              <w:bottom w:val="single" w:sz="4" w:space="0" w:color="auto"/>
              <w:right w:val="nil"/>
            </w:tcBorders>
            <w:shd w:val="clear" w:color="000000" w:fill="FFFFFF"/>
            <w:noWrap/>
            <w:vAlign w:val="bottom"/>
            <w:hideMark/>
          </w:tcPr>
          <w:p w14:paraId="1B4EC3EC"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300" w:type="dxa"/>
            <w:tcBorders>
              <w:top w:val="nil"/>
              <w:left w:val="nil"/>
              <w:bottom w:val="single" w:sz="4" w:space="0" w:color="auto"/>
              <w:right w:val="nil"/>
            </w:tcBorders>
            <w:shd w:val="clear" w:color="000000" w:fill="FFFFFF"/>
            <w:noWrap/>
            <w:vAlign w:val="center"/>
            <w:hideMark/>
          </w:tcPr>
          <w:p w14:paraId="37BEECB5"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1300" w:type="dxa"/>
            <w:tcBorders>
              <w:top w:val="nil"/>
              <w:left w:val="nil"/>
              <w:bottom w:val="single" w:sz="4" w:space="0" w:color="auto"/>
              <w:right w:val="nil"/>
            </w:tcBorders>
            <w:shd w:val="clear" w:color="000000" w:fill="FFFFFF"/>
            <w:noWrap/>
            <w:vAlign w:val="center"/>
            <w:hideMark/>
          </w:tcPr>
          <w:p w14:paraId="328BA98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1300" w:type="dxa"/>
            <w:tcBorders>
              <w:top w:val="nil"/>
              <w:left w:val="nil"/>
              <w:bottom w:val="single" w:sz="4" w:space="0" w:color="auto"/>
              <w:right w:val="nil"/>
            </w:tcBorders>
            <w:shd w:val="clear" w:color="000000" w:fill="FFFFFF"/>
            <w:noWrap/>
            <w:vAlign w:val="center"/>
            <w:hideMark/>
          </w:tcPr>
          <w:p w14:paraId="32F38EB7"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1300" w:type="dxa"/>
            <w:tcBorders>
              <w:top w:val="nil"/>
              <w:left w:val="nil"/>
              <w:bottom w:val="single" w:sz="4" w:space="0" w:color="auto"/>
              <w:right w:val="nil"/>
            </w:tcBorders>
            <w:shd w:val="clear" w:color="000000" w:fill="FFFFFF"/>
            <w:noWrap/>
            <w:vAlign w:val="center"/>
            <w:hideMark/>
          </w:tcPr>
          <w:p w14:paraId="44B6C0D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1300" w:type="dxa"/>
            <w:tcBorders>
              <w:top w:val="nil"/>
              <w:left w:val="nil"/>
              <w:bottom w:val="single" w:sz="4" w:space="0" w:color="auto"/>
              <w:right w:val="nil"/>
            </w:tcBorders>
            <w:shd w:val="clear" w:color="000000" w:fill="FFFFFF"/>
            <w:noWrap/>
            <w:vAlign w:val="center"/>
            <w:hideMark/>
          </w:tcPr>
          <w:p w14:paraId="321016ED"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1300" w:type="dxa"/>
            <w:tcBorders>
              <w:top w:val="nil"/>
              <w:left w:val="nil"/>
              <w:bottom w:val="single" w:sz="4" w:space="0" w:color="auto"/>
              <w:right w:val="nil"/>
            </w:tcBorders>
            <w:shd w:val="clear" w:color="000000" w:fill="FFFFFF"/>
            <w:noWrap/>
            <w:vAlign w:val="center"/>
            <w:hideMark/>
          </w:tcPr>
          <w:p w14:paraId="2E4C456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r>
      <w:tr w:rsidR="00DA54F3" w:rsidRPr="001B02FE" w14:paraId="4DDE4DC4" w14:textId="77777777" w:rsidTr="00A535DB">
        <w:trPr>
          <w:trHeight w:val="290"/>
        </w:trPr>
        <w:tc>
          <w:tcPr>
            <w:tcW w:w="2360" w:type="dxa"/>
            <w:tcBorders>
              <w:top w:val="nil"/>
              <w:left w:val="nil"/>
              <w:bottom w:val="nil"/>
              <w:right w:val="nil"/>
            </w:tcBorders>
            <w:shd w:val="clear" w:color="000000" w:fill="FFFFFF"/>
            <w:noWrap/>
            <w:vAlign w:val="center"/>
            <w:hideMark/>
          </w:tcPr>
          <w:p w14:paraId="2EEE6B39"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E-Commerce</w:t>
            </w:r>
          </w:p>
        </w:tc>
        <w:tc>
          <w:tcPr>
            <w:tcW w:w="1300" w:type="dxa"/>
            <w:tcBorders>
              <w:top w:val="nil"/>
              <w:left w:val="nil"/>
              <w:bottom w:val="nil"/>
              <w:right w:val="nil"/>
            </w:tcBorders>
            <w:shd w:val="clear" w:color="000000" w:fill="FFFFFF"/>
            <w:noWrap/>
            <w:vAlign w:val="center"/>
            <w:hideMark/>
          </w:tcPr>
          <w:p w14:paraId="0B943A4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8,657</w:t>
            </w:r>
          </w:p>
        </w:tc>
        <w:tc>
          <w:tcPr>
            <w:tcW w:w="1300" w:type="dxa"/>
            <w:tcBorders>
              <w:top w:val="nil"/>
              <w:left w:val="nil"/>
              <w:bottom w:val="nil"/>
              <w:right w:val="nil"/>
            </w:tcBorders>
            <w:shd w:val="clear" w:color="000000" w:fill="FFFFFF"/>
            <w:noWrap/>
            <w:vAlign w:val="center"/>
            <w:hideMark/>
          </w:tcPr>
          <w:p w14:paraId="508BB391"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1,513</w:t>
            </w:r>
          </w:p>
        </w:tc>
        <w:tc>
          <w:tcPr>
            <w:tcW w:w="1300" w:type="dxa"/>
            <w:tcBorders>
              <w:top w:val="nil"/>
              <w:left w:val="nil"/>
              <w:bottom w:val="nil"/>
              <w:right w:val="nil"/>
            </w:tcBorders>
            <w:shd w:val="clear" w:color="000000" w:fill="FFFFFF"/>
            <w:noWrap/>
            <w:vAlign w:val="center"/>
            <w:hideMark/>
          </w:tcPr>
          <w:p w14:paraId="1A74A75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10,170</w:t>
            </w:r>
          </w:p>
        </w:tc>
        <w:tc>
          <w:tcPr>
            <w:tcW w:w="1300" w:type="dxa"/>
            <w:tcBorders>
              <w:top w:val="nil"/>
              <w:left w:val="nil"/>
              <w:bottom w:val="nil"/>
              <w:right w:val="nil"/>
            </w:tcBorders>
            <w:shd w:val="clear" w:color="000000" w:fill="FFFFFF"/>
            <w:noWrap/>
            <w:vAlign w:val="center"/>
            <w:hideMark/>
          </w:tcPr>
          <w:p w14:paraId="0845143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6,362</w:t>
            </w:r>
          </w:p>
        </w:tc>
        <w:tc>
          <w:tcPr>
            <w:tcW w:w="1300" w:type="dxa"/>
            <w:tcBorders>
              <w:top w:val="nil"/>
              <w:left w:val="nil"/>
              <w:bottom w:val="nil"/>
              <w:right w:val="nil"/>
            </w:tcBorders>
            <w:shd w:val="clear" w:color="000000" w:fill="FFFFFF"/>
            <w:noWrap/>
            <w:vAlign w:val="center"/>
            <w:hideMark/>
          </w:tcPr>
          <w:p w14:paraId="5D24763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37</w:t>
            </w:r>
          </w:p>
        </w:tc>
        <w:tc>
          <w:tcPr>
            <w:tcW w:w="1300" w:type="dxa"/>
            <w:tcBorders>
              <w:top w:val="nil"/>
              <w:left w:val="nil"/>
              <w:bottom w:val="nil"/>
              <w:right w:val="nil"/>
            </w:tcBorders>
            <w:shd w:val="clear" w:color="000000" w:fill="FFFFFF"/>
            <w:noWrap/>
            <w:vAlign w:val="center"/>
            <w:hideMark/>
          </w:tcPr>
          <w:p w14:paraId="5AD8E537"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6,399</w:t>
            </w:r>
          </w:p>
        </w:tc>
      </w:tr>
      <w:tr w:rsidR="00DA54F3" w:rsidRPr="001B02FE" w14:paraId="087EADE5" w14:textId="77777777" w:rsidTr="00A535DB">
        <w:trPr>
          <w:trHeight w:val="290"/>
        </w:trPr>
        <w:tc>
          <w:tcPr>
            <w:tcW w:w="2360" w:type="dxa"/>
            <w:tcBorders>
              <w:top w:val="nil"/>
              <w:left w:val="nil"/>
              <w:bottom w:val="nil"/>
              <w:right w:val="nil"/>
            </w:tcBorders>
            <w:shd w:val="clear" w:color="000000" w:fill="FFFFFF"/>
            <w:noWrap/>
            <w:vAlign w:val="center"/>
            <w:hideMark/>
          </w:tcPr>
          <w:p w14:paraId="645A296C"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Export</w:t>
            </w:r>
          </w:p>
        </w:tc>
        <w:tc>
          <w:tcPr>
            <w:tcW w:w="1300" w:type="dxa"/>
            <w:tcBorders>
              <w:top w:val="nil"/>
              <w:left w:val="nil"/>
              <w:bottom w:val="nil"/>
              <w:right w:val="nil"/>
            </w:tcBorders>
            <w:shd w:val="clear" w:color="000000" w:fill="FFFFFF"/>
            <w:noWrap/>
            <w:vAlign w:val="center"/>
            <w:hideMark/>
          </w:tcPr>
          <w:p w14:paraId="71F4108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5,252</w:t>
            </w:r>
          </w:p>
        </w:tc>
        <w:tc>
          <w:tcPr>
            <w:tcW w:w="1300" w:type="dxa"/>
            <w:tcBorders>
              <w:top w:val="nil"/>
              <w:left w:val="nil"/>
              <w:bottom w:val="nil"/>
              <w:right w:val="nil"/>
            </w:tcBorders>
            <w:shd w:val="clear" w:color="000000" w:fill="FFFFFF"/>
            <w:noWrap/>
            <w:vAlign w:val="center"/>
            <w:hideMark/>
          </w:tcPr>
          <w:p w14:paraId="3B2B651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7,069</w:t>
            </w:r>
          </w:p>
        </w:tc>
        <w:tc>
          <w:tcPr>
            <w:tcW w:w="1300" w:type="dxa"/>
            <w:tcBorders>
              <w:top w:val="nil"/>
              <w:left w:val="nil"/>
              <w:bottom w:val="nil"/>
              <w:right w:val="nil"/>
            </w:tcBorders>
            <w:shd w:val="clear" w:color="000000" w:fill="FFFFFF"/>
            <w:noWrap/>
            <w:vAlign w:val="center"/>
            <w:hideMark/>
          </w:tcPr>
          <w:p w14:paraId="0AD1C6A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12,321</w:t>
            </w:r>
          </w:p>
        </w:tc>
        <w:tc>
          <w:tcPr>
            <w:tcW w:w="1300" w:type="dxa"/>
            <w:tcBorders>
              <w:top w:val="nil"/>
              <w:left w:val="nil"/>
              <w:bottom w:val="nil"/>
              <w:right w:val="nil"/>
            </w:tcBorders>
            <w:shd w:val="clear" w:color="000000" w:fill="FFFFFF"/>
            <w:noWrap/>
            <w:vAlign w:val="center"/>
            <w:hideMark/>
          </w:tcPr>
          <w:p w14:paraId="2CBE96F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3,941</w:t>
            </w:r>
          </w:p>
        </w:tc>
        <w:tc>
          <w:tcPr>
            <w:tcW w:w="1300" w:type="dxa"/>
            <w:tcBorders>
              <w:top w:val="nil"/>
              <w:left w:val="nil"/>
              <w:bottom w:val="nil"/>
              <w:right w:val="nil"/>
            </w:tcBorders>
            <w:shd w:val="clear" w:color="000000" w:fill="FFFFFF"/>
            <w:noWrap/>
            <w:vAlign w:val="center"/>
            <w:hideMark/>
          </w:tcPr>
          <w:p w14:paraId="26B322B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436</w:t>
            </w:r>
          </w:p>
        </w:tc>
        <w:tc>
          <w:tcPr>
            <w:tcW w:w="1300" w:type="dxa"/>
            <w:tcBorders>
              <w:top w:val="nil"/>
              <w:left w:val="nil"/>
              <w:bottom w:val="nil"/>
              <w:right w:val="nil"/>
            </w:tcBorders>
            <w:shd w:val="clear" w:color="000000" w:fill="FFFFFF"/>
            <w:noWrap/>
            <w:vAlign w:val="center"/>
            <w:hideMark/>
          </w:tcPr>
          <w:p w14:paraId="414829F7"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4,377</w:t>
            </w:r>
          </w:p>
        </w:tc>
      </w:tr>
      <w:tr w:rsidR="00DA54F3" w:rsidRPr="001B02FE" w14:paraId="10EEEBF5" w14:textId="77777777" w:rsidTr="00A535DB">
        <w:trPr>
          <w:trHeight w:val="290"/>
        </w:trPr>
        <w:tc>
          <w:tcPr>
            <w:tcW w:w="2360" w:type="dxa"/>
            <w:tcBorders>
              <w:top w:val="nil"/>
              <w:left w:val="nil"/>
              <w:bottom w:val="nil"/>
              <w:right w:val="nil"/>
            </w:tcBorders>
            <w:shd w:val="clear" w:color="000000" w:fill="FFFFFF"/>
            <w:noWrap/>
            <w:vAlign w:val="center"/>
            <w:hideMark/>
          </w:tcPr>
          <w:p w14:paraId="7EE1D067"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Retail</w:t>
            </w:r>
          </w:p>
        </w:tc>
        <w:tc>
          <w:tcPr>
            <w:tcW w:w="1300" w:type="dxa"/>
            <w:tcBorders>
              <w:top w:val="nil"/>
              <w:left w:val="nil"/>
              <w:bottom w:val="nil"/>
              <w:right w:val="nil"/>
            </w:tcBorders>
            <w:shd w:val="clear" w:color="000000" w:fill="FFFFFF"/>
            <w:noWrap/>
            <w:vAlign w:val="center"/>
            <w:hideMark/>
          </w:tcPr>
          <w:p w14:paraId="3804F1A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8,044</w:t>
            </w:r>
          </w:p>
        </w:tc>
        <w:tc>
          <w:tcPr>
            <w:tcW w:w="1300" w:type="dxa"/>
            <w:tcBorders>
              <w:top w:val="nil"/>
              <w:left w:val="nil"/>
              <w:bottom w:val="nil"/>
              <w:right w:val="nil"/>
            </w:tcBorders>
            <w:shd w:val="clear" w:color="000000" w:fill="FFFFFF"/>
            <w:noWrap/>
            <w:vAlign w:val="center"/>
            <w:hideMark/>
          </w:tcPr>
          <w:p w14:paraId="30B8A090"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13,802</w:t>
            </w:r>
          </w:p>
        </w:tc>
        <w:tc>
          <w:tcPr>
            <w:tcW w:w="1300" w:type="dxa"/>
            <w:tcBorders>
              <w:top w:val="nil"/>
              <w:left w:val="nil"/>
              <w:bottom w:val="nil"/>
              <w:right w:val="nil"/>
            </w:tcBorders>
            <w:shd w:val="clear" w:color="000000" w:fill="FFFFFF"/>
            <w:noWrap/>
            <w:vAlign w:val="center"/>
            <w:hideMark/>
          </w:tcPr>
          <w:p w14:paraId="35F493E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21,846</w:t>
            </w:r>
          </w:p>
        </w:tc>
        <w:tc>
          <w:tcPr>
            <w:tcW w:w="1300" w:type="dxa"/>
            <w:tcBorders>
              <w:top w:val="nil"/>
              <w:left w:val="nil"/>
              <w:bottom w:val="nil"/>
              <w:right w:val="nil"/>
            </w:tcBorders>
            <w:shd w:val="clear" w:color="000000" w:fill="FFFFFF"/>
            <w:noWrap/>
            <w:vAlign w:val="center"/>
            <w:hideMark/>
          </w:tcPr>
          <w:p w14:paraId="02DB95E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7,926</w:t>
            </w:r>
          </w:p>
        </w:tc>
        <w:tc>
          <w:tcPr>
            <w:tcW w:w="1300" w:type="dxa"/>
            <w:tcBorders>
              <w:top w:val="nil"/>
              <w:left w:val="nil"/>
              <w:bottom w:val="nil"/>
              <w:right w:val="nil"/>
            </w:tcBorders>
            <w:shd w:val="clear" w:color="000000" w:fill="FFFFFF"/>
            <w:noWrap/>
            <w:vAlign w:val="center"/>
            <w:hideMark/>
          </w:tcPr>
          <w:p w14:paraId="3D11CE1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973</w:t>
            </w:r>
          </w:p>
        </w:tc>
        <w:tc>
          <w:tcPr>
            <w:tcW w:w="1300" w:type="dxa"/>
            <w:tcBorders>
              <w:top w:val="nil"/>
              <w:left w:val="nil"/>
              <w:bottom w:val="nil"/>
              <w:right w:val="nil"/>
            </w:tcBorders>
            <w:shd w:val="clear" w:color="000000" w:fill="FFFFFF"/>
            <w:noWrap/>
            <w:vAlign w:val="center"/>
            <w:hideMark/>
          </w:tcPr>
          <w:p w14:paraId="6F1B99F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8,899</w:t>
            </w:r>
          </w:p>
        </w:tc>
      </w:tr>
      <w:tr w:rsidR="00DA54F3" w:rsidRPr="001B02FE" w14:paraId="3E5BDFA7" w14:textId="77777777" w:rsidTr="00A535DB">
        <w:trPr>
          <w:trHeight w:val="300"/>
        </w:trPr>
        <w:tc>
          <w:tcPr>
            <w:tcW w:w="2360" w:type="dxa"/>
            <w:tcBorders>
              <w:top w:val="nil"/>
              <w:left w:val="nil"/>
              <w:bottom w:val="nil"/>
              <w:right w:val="nil"/>
            </w:tcBorders>
            <w:shd w:val="clear" w:color="000000" w:fill="FFFFFF"/>
            <w:noWrap/>
            <w:vAlign w:val="center"/>
            <w:hideMark/>
          </w:tcPr>
          <w:p w14:paraId="38DECB47"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Marketplace</w:t>
            </w:r>
          </w:p>
        </w:tc>
        <w:tc>
          <w:tcPr>
            <w:tcW w:w="1300" w:type="dxa"/>
            <w:tcBorders>
              <w:top w:val="nil"/>
              <w:left w:val="nil"/>
              <w:bottom w:val="nil"/>
              <w:right w:val="nil"/>
            </w:tcBorders>
            <w:shd w:val="clear" w:color="000000" w:fill="FFFFFF"/>
            <w:noWrap/>
            <w:vAlign w:val="center"/>
            <w:hideMark/>
          </w:tcPr>
          <w:p w14:paraId="56294240" w14:textId="4EFF55EB"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2,64</w:t>
            </w:r>
            <w:r w:rsidR="00294C0A">
              <w:rPr>
                <w:rFonts w:eastAsia="Times New Roman" w:cstheme="minorHAnsi"/>
                <w:color w:val="000000"/>
                <w:sz w:val="20"/>
                <w:szCs w:val="20"/>
                <w:lang w:eastAsia="en-GB"/>
              </w:rPr>
              <w:t>8</w:t>
            </w:r>
          </w:p>
        </w:tc>
        <w:tc>
          <w:tcPr>
            <w:tcW w:w="1300" w:type="dxa"/>
            <w:tcBorders>
              <w:top w:val="nil"/>
              <w:left w:val="nil"/>
              <w:bottom w:val="single" w:sz="8" w:space="0" w:color="auto"/>
              <w:right w:val="nil"/>
            </w:tcBorders>
            <w:shd w:val="clear" w:color="000000" w:fill="FFFFFF"/>
            <w:noWrap/>
            <w:vAlign w:val="center"/>
            <w:hideMark/>
          </w:tcPr>
          <w:p w14:paraId="07DF7AD4" w14:textId="348FEBC4"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3,58</w:t>
            </w:r>
            <w:r w:rsidR="00294C0A">
              <w:rPr>
                <w:rFonts w:eastAsia="Times New Roman" w:cstheme="minorHAnsi"/>
                <w:color w:val="000000"/>
                <w:sz w:val="20"/>
                <w:szCs w:val="20"/>
                <w:lang w:eastAsia="en-GB"/>
              </w:rPr>
              <w:t>8</w:t>
            </w:r>
          </w:p>
        </w:tc>
        <w:tc>
          <w:tcPr>
            <w:tcW w:w="1300" w:type="dxa"/>
            <w:tcBorders>
              <w:top w:val="nil"/>
              <w:left w:val="nil"/>
              <w:bottom w:val="nil"/>
              <w:right w:val="nil"/>
            </w:tcBorders>
            <w:shd w:val="clear" w:color="000000" w:fill="FFFFFF"/>
            <w:noWrap/>
            <w:vAlign w:val="center"/>
            <w:hideMark/>
          </w:tcPr>
          <w:p w14:paraId="2377C7D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6,236</w:t>
            </w:r>
          </w:p>
        </w:tc>
        <w:tc>
          <w:tcPr>
            <w:tcW w:w="1300" w:type="dxa"/>
            <w:tcBorders>
              <w:top w:val="nil"/>
              <w:left w:val="nil"/>
              <w:bottom w:val="nil"/>
              <w:right w:val="nil"/>
            </w:tcBorders>
            <w:shd w:val="clear" w:color="000000" w:fill="FFFFFF"/>
            <w:noWrap/>
            <w:vAlign w:val="center"/>
            <w:hideMark/>
          </w:tcPr>
          <w:p w14:paraId="453B79F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1,584</w:t>
            </w:r>
          </w:p>
        </w:tc>
        <w:tc>
          <w:tcPr>
            <w:tcW w:w="1300" w:type="dxa"/>
            <w:tcBorders>
              <w:top w:val="nil"/>
              <w:left w:val="nil"/>
              <w:bottom w:val="nil"/>
              <w:right w:val="nil"/>
            </w:tcBorders>
            <w:shd w:val="clear" w:color="000000" w:fill="FFFFFF"/>
            <w:noWrap/>
            <w:vAlign w:val="center"/>
            <w:hideMark/>
          </w:tcPr>
          <w:p w14:paraId="15C315A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59</w:t>
            </w:r>
          </w:p>
        </w:tc>
        <w:tc>
          <w:tcPr>
            <w:tcW w:w="1300" w:type="dxa"/>
            <w:tcBorders>
              <w:top w:val="nil"/>
              <w:left w:val="nil"/>
              <w:bottom w:val="nil"/>
              <w:right w:val="nil"/>
            </w:tcBorders>
            <w:shd w:val="clear" w:color="000000" w:fill="FFFFFF"/>
            <w:noWrap/>
            <w:vAlign w:val="center"/>
            <w:hideMark/>
          </w:tcPr>
          <w:p w14:paraId="7821A8F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1,643</w:t>
            </w:r>
          </w:p>
        </w:tc>
      </w:tr>
      <w:tr w:rsidR="00DA54F3" w:rsidRPr="001B02FE" w14:paraId="28A06B38" w14:textId="77777777" w:rsidTr="00A535DB">
        <w:trPr>
          <w:trHeight w:val="300"/>
        </w:trPr>
        <w:tc>
          <w:tcPr>
            <w:tcW w:w="2360" w:type="dxa"/>
            <w:tcBorders>
              <w:top w:val="single" w:sz="8" w:space="0" w:color="auto"/>
              <w:left w:val="nil"/>
              <w:bottom w:val="single" w:sz="8" w:space="0" w:color="auto"/>
              <w:right w:val="nil"/>
            </w:tcBorders>
            <w:shd w:val="clear" w:color="000000" w:fill="FFFFFF"/>
            <w:noWrap/>
            <w:vAlign w:val="center"/>
            <w:hideMark/>
          </w:tcPr>
          <w:p w14:paraId="659FCDED" w14:textId="77777777" w:rsidR="00DA54F3" w:rsidRPr="001B02FE" w:rsidRDefault="00DA54F3" w:rsidP="00A535DB">
            <w:pPr>
              <w:spacing w:after="0" w:line="240" w:lineRule="auto"/>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Total sales</w:t>
            </w:r>
          </w:p>
        </w:tc>
        <w:tc>
          <w:tcPr>
            <w:tcW w:w="1300" w:type="dxa"/>
            <w:tcBorders>
              <w:top w:val="single" w:sz="8" w:space="0" w:color="auto"/>
              <w:left w:val="nil"/>
              <w:bottom w:val="single" w:sz="8" w:space="0" w:color="auto"/>
              <w:right w:val="nil"/>
            </w:tcBorders>
            <w:shd w:val="clear" w:color="000000" w:fill="FFFFFF"/>
            <w:noWrap/>
            <w:vAlign w:val="center"/>
            <w:hideMark/>
          </w:tcPr>
          <w:p w14:paraId="3EABE925" w14:textId="10549E6A"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24,60</w:t>
            </w:r>
            <w:r w:rsidR="00294C0A">
              <w:rPr>
                <w:rFonts w:eastAsia="Times New Roman" w:cstheme="minorHAnsi"/>
                <w:b/>
                <w:bCs/>
                <w:color w:val="000000"/>
                <w:sz w:val="20"/>
                <w:szCs w:val="20"/>
                <w:lang w:eastAsia="en-GB"/>
              </w:rPr>
              <w:t>1</w:t>
            </w:r>
          </w:p>
        </w:tc>
        <w:tc>
          <w:tcPr>
            <w:tcW w:w="1300" w:type="dxa"/>
            <w:tcBorders>
              <w:top w:val="nil"/>
              <w:left w:val="nil"/>
              <w:bottom w:val="single" w:sz="8" w:space="0" w:color="auto"/>
              <w:right w:val="nil"/>
            </w:tcBorders>
            <w:shd w:val="clear" w:color="000000" w:fill="FFFFFF"/>
            <w:noWrap/>
            <w:vAlign w:val="center"/>
            <w:hideMark/>
          </w:tcPr>
          <w:p w14:paraId="641C076E" w14:textId="194E04AE"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25,97</w:t>
            </w:r>
            <w:r w:rsidR="00294C0A">
              <w:rPr>
                <w:rFonts w:eastAsia="Times New Roman" w:cstheme="minorHAnsi"/>
                <w:b/>
                <w:bCs/>
                <w:color w:val="000000"/>
                <w:sz w:val="20"/>
                <w:szCs w:val="20"/>
                <w:lang w:eastAsia="en-GB"/>
              </w:rPr>
              <w:t>2</w:t>
            </w:r>
          </w:p>
        </w:tc>
        <w:tc>
          <w:tcPr>
            <w:tcW w:w="1300" w:type="dxa"/>
            <w:tcBorders>
              <w:top w:val="single" w:sz="8" w:space="0" w:color="auto"/>
              <w:left w:val="nil"/>
              <w:bottom w:val="single" w:sz="8" w:space="0" w:color="auto"/>
              <w:right w:val="nil"/>
            </w:tcBorders>
            <w:shd w:val="clear" w:color="000000" w:fill="FFFFFF"/>
            <w:noWrap/>
            <w:vAlign w:val="center"/>
            <w:hideMark/>
          </w:tcPr>
          <w:p w14:paraId="225602BF"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50,573</w:t>
            </w:r>
          </w:p>
        </w:tc>
        <w:tc>
          <w:tcPr>
            <w:tcW w:w="1300" w:type="dxa"/>
            <w:tcBorders>
              <w:top w:val="single" w:sz="8" w:space="0" w:color="auto"/>
              <w:left w:val="nil"/>
              <w:bottom w:val="single" w:sz="8" w:space="0" w:color="auto"/>
              <w:right w:val="nil"/>
            </w:tcBorders>
            <w:shd w:val="clear" w:color="000000" w:fill="FFFFFF"/>
            <w:noWrap/>
            <w:vAlign w:val="center"/>
            <w:hideMark/>
          </w:tcPr>
          <w:p w14:paraId="58B40F8F"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19,813</w:t>
            </w:r>
          </w:p>
        </w:tc>
        <w:tc>
          <w:tcPr>
            <w:tcW w:w="1300" w:type="dxa"/>
            <w:tcBorders>
              <w:top w:val="single" w:sz="8" w:space="0" w:color="auto"/>
              <w:left w:val="nil"/>
              <w:bottom w:val="single" w:sz="8" w:space="0" w:color="auto"/>
              <w:right w:val="nil"/>
            </w:tcBorders>
            <w:shd w:val="clear" w:color="000000" w:fill="FFFFFF"/>
            <w:noWrap/>
            <w:vAlign w:val="center"/>
            <w:hideMark/>
          </w:tcPr>
          <w:p w14:paraId="0EC5C74E"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1,505</w:t>
            </w:r>
          </w:p>
        </w:tc>
        <w:tc>
          <w:tcPr>
            <w:tcW w:w="1300" w:type="dxa"/>
            <w:tcBorders>
              <w:top w:val="single" w:sz="8" w:space="0" w:color="auto"/>
              <w:left w:val="nil"/>
              <w:bottom w:val="single" w:sz="8" w:space="0" w:color="auto"/>
              <w:right w:val="nil"/>
            </w:tcBorders>
            <w:shd w:val="clear" w:color="000000" w:fill="FFFFFF"/>
            <w:noWrap/>
            <w:vAlign w:val="center"/>
            <w:hideMark/>
          </w:tcPr>
          <w:p w14:paraId="547BB375"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21,318</w:t>
            </w:r>
          </w:p>
        </w:tc>
      </w:tr>
    </w:tbl>
    <w:p w14:paraId="2D3E0369" w14:textId="77777777" w:rsidR="00DA54F3" w:rsidRPr="001B02FE" w:rsidRDefault="00DA54F3" w:rsidP="00DA54F3">
      <w:pPr>
        <w:spacing w:after="0" w:line="240" w:lineRule="auto"/>
        <w:jc w:val="both"/>
        <w:rPr>
          <w:rFonts w:cstheme="minorHAnsi"/>
          <w:color w:val="000000" w:themeColor="text1"/>
          <w:sz w:val="20"/>
          <w:szCs w:val="20"/>
        </w:rPr>
      </w:pPr>
    </w:p>
    <w:p w14:paraId="3F15923C" w14:textId="77777777" w:rsidR="00DA54F3" w:rsidRPr="001B02FE" w:rsidRDefault="00DA54F3" w:rsidP="00DA54F3">
      <w:pPr>
        <w:spacing w:after="0" w:line="240" w:lineRule="auto"/>
        <w:jc w:val="both"/>
        <w:rPr>
          <w:rFonts w:eastAsia="Times New Roman" w:cstheme="minorHAnsi"/>
          <w:bCs/>
          <w:sz w:val="20"/>
          <w:szCs w:val="20"/>
        </w:rPr>
      </w:pPr>
    </w:p>
    <w:p w14:paraId="3997DF64" w14:textId="77777777"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sz w:val="20"/>
          <w:szCs w:val="20"/>
        </w:rPr>
        <w:t>Turnover by geographic destination of sales may be analysed as follows</w:t>
      </w:r>
    </w:p>
    <w:tbl>
      <w:tblPr>
        <w:tblW w:w="9970" w:type="dxa"/>
        <w:tblLayout w:type="fixed"/>
        <w:tblLook w:val="0000" w:firstRow="0" w:lastRow="0" w:firstColumn="0" w:lastColumn="0" w:noHBand="0" w:noVBand="0"/>
      </w:tblPr>
      <w:tblGrid>
        <w:gridCol w:w="57"/>
        <w:gridCol w:w="5877"/>
        <w:gridCol w:w="303"/>
        <w:gridCol w:w="711"/>
        <w:gridCol w:w="849"/>
        <w:gridCol w:w="2151"/>
        <w:gridCol w:w="22"/>
      </w:tblGrid>
      <w:tr w:rsidR="00DA54F3" w:rsidRPr="001B02FE" w14:paraId="102C71B7" w14:textId="77777777" w:rsidTr="00A535DB">
        <w:trPr>
          <w:cantSplit/>
          <w:trHeight w:val="946"/>
        </w:trPr>
        <w:tc>
          <w:tcPr>
            <w:tcW w:w="6237" w:type="dxa"/>
            <w:gridSpan w:val="3"/>
          </w:tcPr>
          <w:p w14:paraId="1261BFC5" w14:textId="77777777" w:rsidR="00DA54F3" w:rsidRPr="001B02FE" w:rsidRDefault="00DA54F3" w:rsidP="00A535DB">
            <w:pPr>
              <w:keepNext/>
              <w:spacing w:after="0" w:line="240" w:lineRule="auto"/>
              <w:rPr>
                <w:rFonts w:eastAsia="Times New Roman" w:cstheme="minorHAnsi"/>
                <w:sz w:val="20"/>
                <w:szCs w:val="20"/>
              </w:rPr>
            </w:pPr>
          </w:p>
          <w:p w14:paraId="4B06A422" w14:textId="77777777" w:rsidR="00DA54F3" w:rsidRPr="001B02FE" w:rsidRDefault="00DA54F3" w:rsidP="00A535DB">
            <w:pPr>
              <w:keepNext/>
              <w:spacing w:after="0" w:line="240" w:lineRule="auto"/>
              <w:rPr>
                <w:rFonts w:eastAsia="Times New Roman" w:cstheme="minorHAnsi"/>
                <w:b/>
                <w:sz w:val="20"/>
                <w:szCs w:val="20"/>
              </w:rPr>
            </w:pPr>
          </w:p>
        </w:tc>
        <w:tc>
          <w:tcPr>
            <w:tcW w:w="1560" w:type="dxa"/>
            <w:gridSpan w:val="2"/>
          </w:tcPr>
          <w:p w14:paraId="58D395B3" w14:textId="77777777" w:rsidR="00DA54F3" w:rsidRPr="001B02FE" w:rsidRDefault="00DA54F3" w:rsidP="00A535DB">
            <w:pPr>
              <w:keepNext/>
              <w:spacing w:after="0" w:line="240" w:lineRule="auto"/>
              <w:jc w:val="right"/>
              <w:rPr>
                <w:rFonts w:eastAsia="Times New Roman" w:cstheme="minorHAnsi"/>
                <w:b/>
                <w:sz w:val="20"/>
                <w:szCs w:val="20"/>
              </w:rPr>
            </w:pPr>
          </w:p>
          <w:p w14:paraId="4822DCB4" w14:textId="77777777" w:rsidR="00DA54F3" w:rsidRPr="001B02FE" w:rsidRDefault="00DA54F3" w:rsidP="00A535DB">
            <w:pPr>
              <w:keepNext/>
              <w:spacing w:after="0" w:line="240" w:lineRule="auto"/>
              <w:jc w:val="right"/>
              <w:rPr>
                <w:rFonts w:eastAsia="Times New Roman" w:cstheme="minorHAnsi"/>
                <w:b/>
                <w:sz w:val="20"/>
                <w:szCs w:val="20"/>
              </w:rPr>
            </w:pPr>
            <w:r w:rsidRPr="001B02FE">
              <w:rPr>
                <w:rFonts w:eastAsia="Times New Roman" w:cstheme="minorHAnsi"/>
                <w:b/>
                <w:sz w:val="20"/>
                <w:szCs w:val="20"/>
              </w:rPr>
              <w:t>Year ended</w:t>
            </w:r>
          </w:p>
          <w:p w14:paraId="7C79B5B6" w14:textId="77777777" w:rsidR="00DA54F3" w:rsidRPr="001B02FE" w:rsidRDefault="00DA54F3" w:rsidP="00A535DB">
            <w:pPr>
              <w:keepNext/>
              <w:spacing w:after="0" w:line="240" w:lineRule="auto"/>
              <w:jc w:val="right"/>
              <w:rPr>
                <w:rFonts w:eastAsia="Times New Roman" w:cstheme="minorHAnsi"/>
                <w:b/>
                <w:sz w:val="20"/>
                <w:szCs w:val="20"/>
              </w:rPr>
            </w:pPr>
            <w:r w:rsidRPr="001B02FE">
              <w:rPr>
                <w:rFonts w:eastAsia="Times New Roman" w:cstheme="minorHAnsi"/>
                <w:b/>
                <w:sz w:val="20"/>
                <w:szCs w:val="20"/>
              </w:rPr>
              <w:t xml:space="preserve">31 December </w:t>
            </w:r>
          </w:p>
          <w:p w14:paraId="643CFC87" w14:textId="77777777" w:rsidR="00DA54F3" w:rsidRPr="001B02FE" w:rsidRDefault="00DA54F3" w:rsidP="00A535DB">
            <w:pPr>
              <w:keepNext/>
              <w:spacing w:after="0" w:line="240" w:lineRule="auto"/>
              <w:jc w:val="right"/>
              <w:rPr>
                <w:rFonts w:eastAsia="Times New Roman" w:cstheme="minorHAnsi"/>
                <w:b/>
                <w:sz w:val="20"/>
                <w:szCs w:val="20"/>
              </w:rPr>
            </w:pPr>
            <w:r w:rsidRPr="001B02FE">
              <w:rPr>
                <w:rFonts w:eastAsia="Times New Roman" w:cstheme="minorHAnsi"/>
                <w:b/>
                <w:sz w:val="20"/>
                <w:szCs w:val="20"/>
              </w:rPr>
              <w:t>2019</w:t>
            </w:r>
          </w:p>
        </w:tc>
        <w:tc>
          <w:tcPr>
            <w:tcW w:w="2173" w:type="dxa"/>
            <w:gridSpan w:val="2"/>
            <w:vAlign w:val="bottom"/>
          </w:tcPr>
          <w:p w14:paraId="12B0B929" w14:textId="77777777" w:rsidR="00DA54F3" w:rsidRPr="001B02FE" w:rsidRDefault="00DA54F3" w:rsidP="00A535DB">
            <w:pPr>
              <w:keepNext/>
              <w:spacing w:after="0" w:line="240" w:lineRule="auto"/>
              <w:jc w:val="right"/>
              <w:rPr>
                <w:rFonts w:eastAsia="Times New Roman" w:cstheme="minorHAnsi"/>
                <w:sz w:val="20"/>
                <w:szCs w:val="20"/>
              </w:rPr>
            </w:pPr>
            <w:r w:rsidRPr="001B02FE">
              <w:rPr>
                <w:rFonts w:eastAsia="Times New Roman" w:cstheme="minorHAnsi"/>
                <w:sz w:val="20"/>
                <w:szCs w:val="20"/>
              </w:rPr>
              <w:t>Year ended</w:t>
            </w:r>
          </w:p>
          <w:p w14:paraId="20BC25E0" w14:textId="77777777" w:rsidR="00DA54F3" w:rsidRPr="001B02FE" w:rsidRDefault="00DA54F3" w:rsidP="00A535DB">
            <w:pPr>
              <w:keepNext/>
              <w:spacing w:after="0" w:line="240" w:lineRule="auto"/>
              <w:jc w:val="right"/>
              <w:rPr>
                <w:rFonts w:eastAsia="Times New Roman" w:cstheme="minorHAnsi"/>
                <w:sz w:val="20"/>
                <w:szCs w:val="20"/>
              </w:rPr>
            </w:pPr>
            <w:r w:rsidRPr="001B02FE">
              <w:rPr>
                <w:rFonts w:eastAsia="Times New Roman" w:cstheme="minorHAnsi"/>
                <w:sz w:val="20"/>
                <w:szCs w:val="20"/>
              </w:rPr>
              <w:t>31 December</w:t>
            </w:r>
          </w:p>
          <w:p w14:paraId="6D05BCE4" w14:textId="77777777" w:rsidR="00DA54F3" w:rsidRPr="001B02FE" w:rsidRDefault="00DA54F3" w:rsidP="00A535DB">
            <w:pPr>
              <w:keepNext/>
              <w:spacing w:after="0" w:line="240" w:lineRule="auto"/>
              <w:jc w:val="right"/>
              <w:rPr>
                <w:rFonts w:eastAsia="Times New Roman" w:cstheme="minorHAnsi"/>
                <w:b/>
                <w:sz w:val="20"/>
                <w:szCs w:val="20"/>
              </w:rPr>
            </w:pPr>
            <w:r w:rsidRPr="001B02FE">
              <w:rPr>
                <w:rFonts w:eastAsia="Times New Roman" w:cstheme="minorHAnsi"/>
                <w:sz w:val="20"/>
                <w:szCs w:val="20"/>
              </w:rPr>
              <w:t>2018</w:t>
            </w:r>
          </w:p>
        </w:tc>
      </w:tr>
      <w:tr w:rsidR="00DA54F3" w:rsidRPr="001B02FE" w14:paraId="5903790D" w14:textId="77777777" w:rsidTr="00A535DB">
        <w:trPr>
          <w:cantSplit/>
          <w:trHeight w:val="248"/>
        </w:trPr>
        <w:tc>
          <w:tcPr>
            <w:tcW w:w="5934" w:type="dxa"/>
            <w:gridSpan w:val="2"/>
          </w:tcPr>
          <w:p w14:paraId="141328C3" w14:textId="77777777" w:rsidR="00DA54F3" w:rsidRPr="001B02FE" w:rsidRDefault="00DA54F3" w:rsidP="00A535DB">
            <w:pPr>
              <w:spacing w:after="0" w:line="240" w:lineRule="auto"/>
              <w:jc w:val="both"/>
              <w:rPr>
                <w:rFonts w:eastAsia="Times New Roman" w:cstheme="minorHAnsi"/>
                <w:b/>
                <w:sz w:val="20"/>
                <w:szCs w:val="20"/>
              </w:rPr>
            </w:pPr>
          </w:p>
        </w:tc>
        <w:tc>
          <w:tcPr>
            <w:tcW w:w="303" w:type="dxa"/>
          </w:tcPr>
          <w:p w14:paraId="3E0F8BEB" w14:textId="77777777" w:rsidR="00DA54F3" w:rsidRPr="001B02FE" w:rsidRDefault="00DA54F3" w:rsidP="00A535DB">
            <w:pPr>
              <w:keepNext/>
              <w:spacing w:after="0" w:line="240" w:lineRule="auto"/>
              <w:jc w:val="right"/>
              <w:outlineLvl w:val="0"/>
              <w:rPr>
                <w:rFonts w:eastAsia="Times New Roman" w:cstheme="minorHAnsi"/>
                <w:b/>
                <w:sz w:val="20"/>
                <w:szCs w:val="20"/>
              </w:rPr>
            </w:pPr>
          </w:p>
        </w:tc>
        <w:tc>
          <w:tcPr>
            <w:tcW w:w="1560" w:type="dxa"/>
            <w:gridSpan w:val="2"/>
          </w:tcPr>
          <w:p w14:paraId="7577905B" w14:textId="77777777" w:rsidR="00DA54F3" w:rsidRPr="001B02FE" w:rsidRDefault="00DA54F3" w:rsidP="00A535DB">
            <w:pPr>
              <w:keepNext/>
              <w:spacing w:after="0" w:line="240" w:lineRule="auto"/>
              <w:jc w:val="right"/>
              <w:outlineLvl w:val="0"/>
              <w:rPr>
                <w:rFonts w:eastAsia="Times New Roman" w:cstheme="minorHAnsi"/>
                <w:b/>
                <w:sz w:val="20"/>
                <w:szCs w:val="20"/>
              </w:rPr>
            </w:pPr>
            <w:r w:rsidRPr="001B02FE">
              <w:rPr>
                <w:rFonts w:eastAsia="Times New Roman" w:cstheme="minorHAnsi"/>
                <w:b/>
                <w:sz w:val="20"/>
                <w:szCs w:val="20"/>
              </w:rPr>
              <w:t>£’000</w:t>
            </w:r>
          </w:p>
        </w:tc>
        <w:tc>
          <w:tcPr>
            <w:tcW w:w="2173" w:type="dxa"/>
            <w:gridSpan w:val="2"/>
          </w:tcPr>
          <w:p w14:paraId="06E9F909" w14:textId="77777777" w:rsidR="00DA54F3" w:rsidRPr="001B02FE" w:rsidRDefault="00DA54F3" w:rsidP="00A535DB">
            <w:pPr>
              <w:keepNext/>
              <w:spacing w:after="0" w:line="240" w:lineRule="auto"/>
              <w:jc w:val="right"/>
              <w:outlineLvl w:val="0"/>
              <w:rPr>
                <w:rFonts w:eastAsia="Times New Roman" w:cstheme="minorHAnsi"/>
                <w:b/>
                <w:sz w:val="20"/>
                <w:szCs w:val="20"/>
              </w:rPr>
            </w:pPr>
            <w:r w:rsidRPr="001B02FE">
              <w:rPr>
                <w:rFonts w:eastAsia="Times New Roman" w:cstheme="minorHAnsi"/>
                <w:sz w:val="20"/>
                <w:szCs w:val="20"/>
              </w:rPr>
              <w:t>£’000</w:t>
            </w:r>
          </w:p>
        </w:tc>
      </w:tr>
      <w:tr w:rsidR="00DA54F3" w:rsidRPr="001B02FE" w14:paraId="33E65DB3" w14:textId="77777777" w:rsidTr="00A535DB">
        <w:trPr>
          <w:gridBefore w:val="1"/>
          <w:gridAfter w:val="1"/>
          <w:wBefore w:w="57" w:type="dxa"/>
          <w:wAfter w:w="22" w:type="dxa"/>
          <w:cantSplit/>
          <w:trHeight w:val="232"/>
        </w:trPr>
        <w:tc>
          <w:tcPr>
            <w:tcW w:w="6891" w:type="dxa"/>
            <w:gridSpan w:val="3"/>
            <w:tcBorders>
              <w:top w:val="single" w:sz="4" w:space="0" w:color="auto"/>
            </w:tcBorders>
          </w:tcPr>
          <w:p w14:paraId="7547DD0F" w14:textId="77777777" w:rsidR="00DA54F3" w:rsidRPr="001B02FE" w:rsidRDefault="00DA54F3" w:rsidP="00A535DB">
            <w:pPr>
              <w:spacing w:after="0" w:line="240" w:lineRule="auto"/>
              <w:jc w:val="both"/>
              <w:rPr>
                <w:rFonts w:eastAsia="Times New Roman" w:cstheme="minorHAnsi"/>
                <w:b/>
                <w:sz w:val="20"/>
                <w:szCs w:val="20"/>
                <w:highlight w:val="yellow"/>
                <w:lang w:val="en-US"/>
              </w:rPr>
            </w:pPr>
          </w:p>
        </w:tc>
        <w:tc>
          <w:tcPr>
            <w:tcW w:w="849" w:type="dxa"/>
            <w:tcBorders>
              <w:top w:val="single" w:sz="4" w:space="0" w:color="auto"/>
            </w:tcBorders>
          </w:tcPr>
          <w:p w14:paraId="60F87385" w14:textId="77777777" w:rsidR="00DA54F3" w:rsidRPr="001B02FE" w:rsidRDefault="00DA54F3" w:rsidP="00A535DB">
            <w:pPr>
              <w:keepNext/>
              <w:spacing w:after="0" w:line="240" w:lineRule="auto"/>
              <w:jc w:val="right"/>
              <w:outlineLvl w:val="0"/>
              <w:rPr>
                <w:rFonts w:eastAsia="Times New Roman" w:cstheme="minorHAnsi"/>
                <w:b/>
                <w:sz w:val="20"/>
                <w:szCs w:val="20"/>
                <w:highlight w:val="yellow"/>
              </w:rPr>
            </w:pPr>
          </w:p>
        </w:tc>
        <w:tc>
          <w:tcPr>
            <w:tcW w:w="2151" w:type="dxa"/>
            <w:tcBorders>
              <w:top w:val="single" w:sz="4" w:space="0" w:color="auto"/>
            </w:tcBorders>
          </w:tcPr>
          <w:p w14:paraId="3674A4E3" w14:textId="77777777" w:rsidR="00DA54F3" w:rsidRPr="001B02FE" w:rsidRDefault="00DA54F3" w:rsidP="00A535DB">
            <w:pPr>
              <w:keepNext/>
              <w:spacing w:after="0" w:line="240" w:lineRule="auto"/>
              <w:jc w:val="right"/>
              <w:outlineLvl w:val="0"/>
              <w:rPr>
                <w:rFonts w:eastAsia="Times New Roman" w:cstheme="minorHAnsi"/>
                <w:sz w:val="20"/>
                <w:szCs w:val="20"/>
                <w:highlight w:val="yellow"/>
              </w:rPr>
            </w:pPr>
          </w:p>
        </w:tc>
      </w:tr>
      <w:tr w:rsidR="00DA54F3" w:rsidRPr="001B02FE" w14:paraId="5ECF2FF1" w14:textId="77777777" w:rsidTr="00A535DB">
        <w:trPr>
          <w:cantSplit/>
          <w:trHeight w:val="232"/>
        </w:trPr>
        <w:tc>
          <w:tcPr>
            <w:tcW w:w="5934" w:type="dxa"/>
            <w:gridSpan w:val="2"/>
          </w:tcPr>
          <w:p w14:paraId="27A56F93"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United Kingdom</w:t>
            </w:r>
          </w:p>
        </w:tc>
        <w:tc>
          <w:tcPr>
            <w:tcW w:w="303" w:type="dxa"/>
          </w:tcPr>
          <w:p w14:paraId="10B62230" w14:textId="77777777" w:rsidR="00DA54F3" w:rsidRPr="001B02FE" w:rsidRDefault="00DA54F3" w:rsidP="00A535DB">
            <w:pPr>
              <w:keepNext/>
              <w:spacing w:after="0" w:line="240" w:lineRule="auto"/>
              <w:jc w:val="right"/>
              <w:outlineLvl w:val="0"/>
              <w:rPr>
                <w:rFonts w:eastAsia="Times New Roman" w:cstheme="minorHAnsi"/>
                <w:sz w:val="20"/>
                <w:szCs w:val="20"/>
                <w:highlight w:val="yellow"/>
              </w:rPr>
            </w:pPr>
          </w:p>
        </w:tc>
        <w:tc>
          <w:tcPr>
            <w:tcW w:w="1560" w:type="dxa"/>
            <w:gridSpan w:val="2"/>
          </w:tcPr>
          <w:p w14:paraId="364A3F5D" w14:textId="77777777" w:rsidR="00DA54F3" w:rsidRPr="001B02FE" w:rsidRDefault="00DA54F3" w:rsidP="00A535DB">
            <w:pPr>
              <w:keepNext/>
              <w:spacing w:after="0" w:line="240" w:lineRule="auto"/>
              <w:jc w:val="right"/>
              <w:outlineLvl w:val="0"/>
              <w:rPr>
                <w:rFonts w:eastAsia="Times New Roman" w:cstheme="minorHAnsi"/>
                <w:b/>
                <w:sz w:val="20"/>
                <w:szCs w:val="20"/>
              </w:rPr>
            </w:pPr>
            <w:r w:rsidRPr="001B02FE">
              <w:rPr>
                <w:rFonts w:eastAsia="Times New Roman" w:cstheme="minorHAnsi"/>
                <w:b/>
                <w:sz w:val="20"/>
                <w:szCs w:val="20"/>
              </w:rPr>
              <w:t>32,751</w:t>
            </w:r>
          </w:p>
        </w:tc>
        <w:tc>
          <w:tcPr>
            <w:tcW w:w="2173" w:type="dxa"/>
            <w:gridSpan w:val="2"/>
          </w:tcPr>
          <w:p w14:paraId="596DA7E7" w14:textId="77777777" w:rsidR="00DA54F3" w:rsidRPr="001B02FE" w:rsidRDefault="00DA54F3" w:rsidP="00A535DB">
            <w:pPr>
              <w:keepNext/>
              <w:spacing w:after="0" w:line="240" w:lineRule="auto"/>
              <w:jc w:val="right"/>
              <w:outlineLvl w:val="0"/>
              <w:rPr>
                <w:rFonts w:eastAsia="Times New Roman" w:cstheme="minorHAnsi"/>
                <w:bCs/>
                <w:sz w:val="20"/>
                <w:szCs w:val="20"/>
              </w:rPr>
            </w:pPr>
            <w:r w:rsidRPr="001B02FE">
              <w:rPr>
                <w:rFonts w:eastAsia="Times New Roman" w:cstheme="minorHAnsi"/>
                <w:bCs/>
                <w:sz w:val="20"/>
                <w:szCs w:val="20"/>
              </w:rPr>
              <w:t>14,062</w:t>
            </w:r>
          </w:p>
        </w:tc>
      </w:tr>
      <w:tr w:rsidR="00DA54F3" w:rsidRPr="001B02FE" w14:paraId="68CF9A23" w14:textId="77777777" w:rsidTr="00A535DB">
        <w:trPr>
          <w:cantSplit/>
          <w:trHeight w:val="232"/>
        </w:trPr>
        <w:tc>
          <w:tcPr>
            <w:tcW w:w="5934" w:type="dxa"/>
            <w:gridSpan w:val="2"/>
          </w:tcPr>
          <w:p w14:paraId="4D6F2763"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 xml:space="preserve">Rest of Europe </w:t>
            </w:r>
          </w:p>
        </w:tc>
        <w:tc>
          <w:tcPr>
            <w:tcW w:w="303" w:type="dxa"/>
          </w:tcPr>
          <w:p w14:paraId="3C46DDF4" w14:textId="77777777" w:rsidR="00DA54F3" w:rsidRPr="001B02FE" w:rsidRDefault="00DA54F3" w:rsidP="00A535DB">
            <w:pPr>
              <w:keepNext/>
              <w:tabs>
                <w:tab w:val="decimal" w:pos="1062"/>
              </w:tabs>
              <w:spacing w:after="0" w:line="240" w:lineRule="auto"/>
              <w:ind w:right="-160"/>
              <w:jc w:val="both"/>
              <w:outlineLvl w:val="0"/>
              <w:rPr>
                <w:rFonts w:eastAsia="Times New Roman" w:cstheme="minorHAnsi"/>
                <w:sz w:val="20"/>
                <w:szCs w:val="20"/>
                <w:highlight w:val="yellow"/>
              </w:rPr>
            </w:pPr>
          </w:p>
        </w:tc>
        <w:tc>
          <w:tcPr>
            <w:tcW w:w="1560" w:type="dxa"/>
            <w:gridSpan w:val="2"/>
          </w:tcPr>
          <w:p w14:paraId="05BD9D14" w14:textId="77777777" w:rsidR="00DA54F3" w:rsidRPr="001B02FE" w:rsidRDefault="00DA54F3" w:rsidP="00A535DB">
            <w:pPr>
              <w:keepNext/>
              <w:spacing w:after="0" w:line="240" w:lineRule="auto"/>
              <w:jc w:val="right"/>
              <w:outlineLvl w:val="0"/>
              <w:rPr>
                <w:rFonts w:eastAsia="Times New Roman" w:cstheme="minorHAnsi"/>
                <w:b/>
                <w:sz w:val="20"/>
                <w:szCs w:val="20"/>
              </w:rPr>
            </w:pPr>
            <w:r w:rsidRPr="001B02FE">
              <w:rPr>
                <w:rFonts w:eastAsia="Times New Roman" w:cstheme="minorHAnsi"/>
                <w:b/>
                <w:sz w:val="20"/>
                <w:szCs w:val="20"/>
              </w:rPr>
              <w:t>9,174</w:t>
            </w:r>
          </w:p>
        </w:tc>
        <w:tc>
          <w:tcPr>
            <w:tcW w:w="2173" w:type="dxa"/>
            <w:gridSpan w:val="2"/>
          </w:tcPr>
          <w:p w14:paraId="563FCE06" w14:textId="77777777" w:rsidR="00DA54F3" w:rsidRPr="001B02FE" w:rsidRDefault="00DA54F3" w:rsidP="00A535DB">
            <w:pPr>
              <w:keepNext/>
              <w:spacing w:after="0" w:line="240" w:lineRule="auto"/>
              <w:jc w:val="right"/>
              <w:outlineLvl w:val="0"/>
              <w:rPr>
                <w:rFonts w:eastAsia="Times New Roman" w:cstheme="minorHAnsi"/>
                <w:bCs/>
                <w:sz w:val="20"/>
                <w:szCs w:val="20"/>
              </w:rPr>
            </w:pPr>
            <w:r w:rsidRPr="001B02FE">
              <w:rPr>
                <w:rFonts w:eastAsia="Times New Roman" w:cstheme="minorHAnsi"/>
                <w:bCs/>
                <w:sz w:val="20"/>
                <w:szCs w:val="20"/>
              </w:rPr>
              <w:t>3,849</w:t>
            </w:r>
          </w:p>
        </w:tc>
      </w:tr>
      <w:tr w:rsidR="00DA54F3" w:rsidRPr="001B02FE" w14:paraId="2213E37D" w14:textId="77777777" w:rsidTr="00A535DB">
        <w:trPr>
          <w:cantSplit/>
          <w:trHeight w:val="248"/>
        </w:trPr>
        <w:tc>
          <w:tcPr>
            <w:tcW w:w="5934" w:type="dxa"/>
            <w:gridSpan w:val="2"/>
          </w:tcPr>
          <w:p w14:paraId="7F59285F"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Australia</w:t>
            </w:r>
          </w:p>
        </w:tc>
        <w:tc>
          <w:tcPr>
            <w:tcW w:w="303" w:type="dxa"/>
          </w:tcPr>
          <w:p w14:paraId="1A6EC7CA" w14:textId="77777777" w:rsidR="00DA54F3" w:rsidRPr="001B02FE" w:rsidRDefault="00DA54F3" w:rsidP="00A535DB">
            <w:pPr>
              <w:keepNext/>
              <w:tabs>
                <w:tab w:val="decimal" w:pos="1062"/>
              </w:tabs>
              <w:spacing w:after="0" w:line="240" w:lineRule="auto"/>
              <w:ind w:right="-160"/>
              <w:jc w:val="both"/>
              <w:outlineLvl w:val="0"/>
              <w:rPr>
                <w:rFonts w:eastAsia="Times New Roman" w:cstheme="minorHAnsi"/>
                <w:sz w:val="20"/>
                <w:szCs w:val="20"/>
                <w:highlight w:val="yellow"/>
              </w:rPr>
            </w:pPr>
          </w:p>
        </w:tc>
        <w:tc>
          <w:tcPr>
            <w:tcW w:w="1560" w:type="dxa"/>
            <w:gridSpan w:val="2"/>
          </w:tcPr>
          <w:p w14:paraId="26F34CDA" w14:textId="77777777" w:rsidR="00DA54F3" w:rsidRPr="001B02FE" w:rsidRDefault="00DA54F3" w:rsidP="00A535DB">
            <w:pPr>
              <w:keepNext/>
              <w:spacing w:after="0" w:line="240" w:lineRule="auto"/>
              <w:jc w:val="right"/>
              <w:outlineLvl w:val="0"/>
              <w:rPr>
                <w:rFonts w:eastAsia="Times New Roman" w:cstheme="minorHAnsi"/>
                <w:b/>
                <w:sz w:val="20"/>
                <w:szCs w:val="20"/>
              </w:rPr>
            </w:pPr>
            <w:r w:rsidRPr="001B02FE">
              <w:rPr>
                <w:rFonts w:eastAsia="Times New Roman" w:cstheme="minorHAnsi"/>
                <w:b/>
                <w:sz w:val="20"/>
                <w:szCs w:val="20"/>
              </w:rPr>
              <w:t>1,416</w:t>
            </w:r>
          </w:p>
        </w:tc>
        <w:tc>
          <w:tcPr>
            <w:tcW w:w="2173" w:type="dxa"/>
            <w:gridSpan w:val="2"/>
          </w:tcPr>
          <w:p w14:paraId="5ED81113" w14:textId="77777777" w:rsidR="00DA54F3" w:rsidRPr="001B02FE" w:rsidRDefault="00DA54F3" w:rsidP="00A535DB">
            <w:pPr>
              <w:keepNext/>
              <w:spacing w:after="0" w:line="240" w:lineRule="auto"/>
              <w:jc w:val="right"/>
              <w:outlineLvl w:val="0"/>
              <w:rPr>
                <w:rFonts w:eastAsia="Times New Roman" w:cstheme="minorHAnsi"/>
                <w:bCs/>
                <w:sz w:val="20"/>
                <w:szCs w:val="20"/>
              </w:rPr>
            </w:pPr>
            <w:r w:rsidRPr="001B02FE">
              <w:rPr>
                <w:rFonts w:eastAsia="Times New Roman" w:cstheme="minorHAnsi"/>
                <w:bCs/>
                <w:sz w:val="20"/>
                <w:szCs w:val="20"/>
              </w:rPr>
              <w:t>755</w:t>
            </w:r>
          </w:p>
        </w:tc>
      </w:tr>
      <w:tr w:rsidR="00DA54F3" w:rsidRPr="001B02FE" w14:paraId="6577FB0F" w14:textId="77777777" w:rsidTr="00A535DB">
        <w:trPr>
          <w:cantSplit/>
          <w:trHeight w:val="232"/>
        </w:trPr>
        <w:tc>
          <w:tcPr>
            <w:tcW w:w="5934" w:type="dxa"/>
            <w:gridSpan w:val="2"/>
          </w:tcPr>
          <w:p w14:paraId="700B073A"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Rest of the World</w:t>
            </w:r>
          </w:p>
        </w:tc>
        <w:tc>
          <w:tcPr>
            <w:tcW w:w="303" w:type="dxa"/>
          </w:tcPr>
          <w:p w14:paraId="72212D95" w14:textId="77777777" w:rsidR="00DA54F3" w:rsidRPr="001B02FE" w:rsidRDefault="00DA54F3" w:rsidP="00A535DB">
            <w:pPr>
              <w:keepNext/>
              <w:tabs>
                <w:tab w:val="decimal" w:pos="1062"/>
              </w:tabs>
              <w:spacing w:after="0" w:line="240" w:lineRule="auto"/>
              <w:ind w:right="-160"/>
              <w:jc w:val="both"/>
              <w:outlineLvl w:val="0"/>
              <w:rPr>
                <w:rFonts w:eastAsia="Times New Roman" w:cstheme="minorHAnsi"/>
                <w:sz w:val="20"/>
                <w:szCs w:val="20"/>
                <w:highlight w:val="yellow"/>
              </w:rPr>
            </w:pPr>
          </w:p>
        </w:tc>
        <w:tc>
          <w:tcPr>
            <w:tcW w:w="1560" w:type="dxa"/>
            <w:gridSpan w:val="2"/>
          </w:tcPr>
          <w:p w14:paraId="7DDEB485" w14:textId="77777777" w:rsidR="00DA54F3" w:rsidRPr="001B02FE" w:rsidRDefault="00DA54F3" w:rsidP="00A535DB">
            <w:pPr>
              <w:keepNext/>
              <w:spacing w:after="0" w:line="240" w:lineRule="auto"/>
              <w:jc w:val="right"/>
              <w:outlineLvl w:val="0"/>
              <w:rPr>
                <w:rFonts w:eastAsia="Times New Roman" w:cstheme="minorHAnsi"/>
                <w:b/>
                <w:sz w:val="20"/>
                <w:szCs w:val="20"/>
              </w:rPr>
            </w:pPr>
            <w:r w:rsidRPr="001B02FE">
              <w:rPr>
                <w:rFonts w:eastAsia="Times New Roman" w:cstheme="minorHAnsi"/>
                <w:b/>
                <w:sz w:val="20"/>
                <w:szCs w:val="20"/>
              </w:rPr>
              <w:t>7,232</w:t>
            </w:r>
          </w:p>
        </w:tc>
        <w:tc>
          <w:tcPr>
            <w:tcW w:w="2173" w:type="dxa"/>
            <w:gridSpan w:val="2"/>
          </w:tcPr>
          <w:p w14:paraId="63C05B35" w14:textId="77777777" w:rsidR="00DA54F3" w:rsidRPr="001B02FE" w:rsidRDefault="00DA54F3" w:rsidP="00A535DB">
            <w:pPr>
              <w:keepNext/>
              <w:spacing w:after="0" w:line="240" w:lineRule="auto"/>
              <w:jc w:val="right"/>
              <w:outlineLvl w:val="0"/>
              <w:rPr>
                <w:rFonts w:eastAsia="Times New Roman" w:cstheme="minorHAnsi"/>
                <w:bCs/>
                <w:sz w:val="20"/>
                <w:szCs w:val="20"/>
              </w:rPr>
            </w:pPr>
            <w:r w:rsidRPr="001B02FE">
              <w:rPr>
                <w:rFonts w:eastAsia="Times New Roman" w:cstheme="minorHAnsi"/>
                <w:bCs/>
                <w:sz w:val="20"/>
                <w:szCs w:val="20"/>
              </w:rPr>
              <w:t>2,652</w:t>
            </w:r>
          </w:p>
        </w:tc>
      </w:tr>
      <w:tr w:rsidR="00DA54F3" w:rsidRPr="001B02FE" w14:paraId="158D7C10" w14:textId="77777777" w:rsidTr="00A535DB">
        <w:trPr>
          <w:cantSplit/>
          <w:trHeight w:val="292"/>
        </w:trPr>
        <w:tc>
          <w:tcPr>
            <w:tcW w:w="5934" w:type="dxa"/>
            <w:gridSpan w:val="2"/>
            <w:tcBorders>
              <w:top w:val="single" w:sz="4" w:space="0" w:color="auto"/>
              <w:bottom w:val="single" w:sz="12" w:space="0" w:color="auto"/>
            </w:tcBorders>
          </w:tcPr>
          <w:p w14:paraId="46E7637D" w14:textId="77777777" w:rsidR="00DA54F3" w:rsidRPr="001B02FE" w:rsidRDefault="00DA54F3" w:rsidP="00A535DB">
            <w:pPr>
              <w:spacing w:after="0" w:line="240" w:lineRule="auto"/>
              <w:jc w:val="both"/>
              <w:rPr>
                <w:rFonts w:eastAsia="Times New Roman" w:cstheme="minorHAnsi"/>
                <w:b/>
                <w:sz w:val="20"/>
                <w:szCs w:val="20"/>
                <w:highlight w:val="yellow"/>
              </w:rPr>
            </w:pPr>
            <w:r w:rsidRPr="001B02FE">
              <w:rPr>
                <w:rFonts w:eastAsia="Times New Roman" w:cstheme="minorHAnsi"/>
                <w:b/>
                <w:sz w:val="20"/>
                <w:szCs w:val="20"/>
              </w:rPr>
              <w:t>Total sales</w:t>
            </w:r>
          </w:p>
        </w:tc>
        <w:tc>
          <w:tcPr>
            <w:tcW w:w="303" w:type="dxa"/>
            <w:tcBorders>
              <w:top w:val="single" w:sz="4" w:space="0" w:color="auto"/>
              <w:bottom w:val="single" w:sz="12" w:space="0" w:color="auto"/>
            </w:tcBorders>
          </w:tcPr>
          <w:p w14:paraId="35E0819C" w14:textId="77777777" w:rsidR="00DA54F3" w:rsidRPr="001B02FE" w:rsidRDefault="00DA54F3" w:rsidP="00A535DB">
            <w:pPr>
              <w:keepNext/>
              <w:tabs>
                <w:tab w:val="decimal" w:pos="1062"/>
              </w:tabs>
              <w:spacing w:after="0" w:line="240" w:lineRule="auto"/>
              <w:ind w:right="-160"/>
              <w:jc w:val="both"/>
              <w:outlineLvl w:val="0"/>
              <w:rPr>
                <w:rFonts w:eastAsia="Times New Roman" w:cstheme="minorHAnsi"/>
                <w:sz w:val="20"/>
                <w:szCs w:val="20"/>
                <w:highlight w:val="yellow"/>
              </w:rPr>
            </w:pPr>
          </w:p>
        </w:tc>
        <w:tc>
          <w:tcPr>
            <w:tcW w:w="1560" w:type="dxa"/>
            <w:gridSpan w:val="2"/>
            <w:tcBorders>
              <w:top w:val="single" w:sz="4" w:space="0" w:color="auto"/>
              <w:bottom w:val="single" w:sz="12" w:space="0" w:color="auto"/>
            </w:tcBorders>
            <w:vAlign w:val="center"/>
          </w:tcPr>
          <w:p w14:paraId="00D9174A" w14:textId="77777777" w:rsidR="00DA54F3" w:rsidRPr="001B02FE" w:rsidRDefault="00DA54F3" w:rsidP="00A535DB">
            <w:pPr>
              <w:keepNext/>
              <w:spacing w:after="0" w:line="240" w:lineRule="auto"/>
              <w:jc w:val="right"/>
              <w:outlineLvl w:val="0"/>
              <w:rPr>
                <w:rFonts w:eastAsia="Times New Roman" w:cstheme="minorHAnsi"/>
                <w:b/>
                <w:sz w:val="20"/>
                <w:szCs w:val="20"/>
              </w:rPr>
            </w:pPr>
            <w:r w:rsidRPr="001B02FE">
              <w:rPr>
                <w:rFonts w:eastAsia="Times New Roman" w:cstheme="minorHAnsi"/>
                <w:b/>
                <w:sz w:val="20"/>
                <w:szCs w:val="20"/>
              </w:rPr>
              <w:t>50,573</w:t>
            </w:r>
          </w:p>
        </w:tc>
        <w:tc>
          <w:tcPr>
            <w:tcW w:w="2173" w:type="dxa"/>
            <w:gridSpan w:val="2"/>
            <w:tcBorders>
              <w:top w:val="single" w:sz="4" w:space="0" w:color="auto"/>
              <w:bottom w:val="single" w:sz="12" w:space="0" w:color="auto"/>
            </w:tcBorders>
            <w:vAlign w:val="center"/>
          </w:tcPr>
          <w:p w14:paraId="235F2EA7" w14:textId="77777777" w:rsidR="00DA54F3" w:rsidRPr="001B02FE" w:rsidRDefault="00DA54F3" w:rsidP="00A535DB">
            <w:pPr>
              <w:keepNext/>
              <w:spacing w:after="0" w:line="240" w:lineRule="auto"/>
              <w:jc w:val="right"/>
              <w:outlineLvl w:val="0"/>
              <w:rPr>
                <w:rFonts w:eastAsia="Times New Roman" w:cstheme="minorHAnsi"/>
                <w:bCs/>
                <w:sz w:val="20"/>
                <w:szCs w:val="20"/>
              </w:rPr>
            </w:pPr>
            <w:r w:rsidRPr="001B02FE">
              <w:rPr>
                <w:rFonts w:eastAsia="Times New Roman" w:cstheme="minorHAnsi"/>
                <w:bCs/>
                <w:sz w:val="20"/>
                <w:szCs w:val="20"/>
              </w:rPr>
              <w:t>21,318</w:t>
            </w:r>
          </w:p>
        </w:tc>
      </w:tr>
    </w:tbl>
    <w:p w14:paraId="6FDD240D" w14:textId="77777777" w:rsidR="00DA54F3" w:rsidRPr="001B02FE" w:rsidRDefault="00DA54F3" w:rsidP="00DA54F3">
      <w:pPr>
        <w:spacing w:after="0" w:line="240" w:lineRule="auto"/>
        <w:jc w:val="both"/>
        <w:rPr>
          <w:rFonts w:eastAsia="Times New Roman" w:cstheme="minorHAnsi"/>
          <w:b/>
          <w:sz w:val="20"/>
          <w:szCs w:val="20"/>
        </w:rPr>
      </w:pPr>
    </w:p>
    <w:p w14:paraId="11BCEBB1" w14:textId="77777777" w:rsidR="00DA54F3" w:rsidRPr="001B02FE" w:rsidRDefault="00DA54F3" w:rsidP="00DA54F3">
      <w:pPr>
        <w:spacing w:after="0" w:line="240" w:lineRule="auto"/>
        <w:jc w:val="both"/>
        <w:rPr>
          <w:rFonts w:eastAsia="Times New Roman" w:cstheme="minorHAnsi"/>
          <w:b/>
          <w:sz w:val="20"/>
          <w:szCs w:val="20"/>
        </w:rPr>
      </w:pPr>
    </w:p>
    <w:p w14:paraId="17AAA2D2" w14:textId="29090315" w:rsidR="00DA54F3" w:rsidRPr="001B02FE" w:rsidRDefault="002606D7" w:rsidP="00DA54F3">
      <w:pPr>
        <w:spacing w:after="0" w:line="240" w:lineRule="auto"/>
        <w:jc w:val="both"/>
        <w:rPr>
          <w:rFonts w:eastAsia="Times New Roman" w:cstheme="minorHAnsi"/>
          <w:b/>
          <w:sz w:val="20"/>
          <w:szCs w:val="20"/>
        </w:rPr>
      </w:pPr>
      <w:r w:rsidRPr="001B02FE">
        <w:rPr>
          <w:rFonts w:eastAsia="Times New Roman" w:cstheme="minorHAnsi"/>
          <w:b/>
          <w:sz w:val="20"/>
          <w:szCs w:val="20"/>
        </w:rPr>
        <w:t>4</w:t>
      </w:r>
      <w:r w:rsidR="00DA54F3" w:rsidRPr="001B02FE">
        <w:rPr>
          <w:rFonts w:eastAsia="Times New Roman" w:cstheme="minorHAnsi"/>
          <w:b/>
          <w:sz w:val="20"/>
          <w:szCs w:val="20"/>
        </w:rPr>
        <w:t>.</w:t>
      </w:r>
      <w:r w:rsidR="00DA54F3" w:rsidRPr="001B02FE">
        <w:rPr>
          <w:rFonts w:eastAsia="Times New Roman" w:cstheme="minorHAnsi"/>
          <w:sz w:val="20"/>
          <w:szCs w:val="20"/>
        </w:rPr>
        <w:t xml:space="preserve"> </w:t>
      </w:r>
      <w:r w:rsidR="00DA54F3" w:rsidRPr="001B02FE">
        <w:rPr>
          <w:rFonts w:eastAsia="Times New Roman" w:cstheme="minorHAnsi"/>
          <w:b/>
          <w:sz w:val="20"/>
          <w:szCs w:val="20"/>
        </w:rPr>
        <w:t xml:space="preserve">Operating expenses </w:t>
      </w:r>
    </w:p>
    <w:tbl>
      <w:tblPr>
        <w:tblW w:w="9749" w:type="dxa"/>
        <w:tblInd w:w="108" w:type="dxa"/>
        <w:tblLayout w:type="fixed"/>
        <w:tblLook w:val="0000" w:firstRow="0" w:lastRow="0" w:firstColumn="0" w:lastColumn="0" w:noHBand="0" w:noVBand="0"/>
      </w:tblPr>
      <w:tblGrid>
        <w:gridCol w:w="5529"/>
        <w:gridCol w:w="850"/>
        <w:gridCol w:w="1678"/>
        <w:gridCol w:w="1692"/>
      </w:tblGrid>
      <w:tr w:rsidR="00DA54F3" w:rsidRPr="001B02FE" w14:paraId="2164A77A" w14:textId="77777777" w:rsidTr="00A535DB">
        <w:trPr>
          <w:trHeight w:val="289"/>
        </w:trPr>
        <w:tc>
          <w:tcPr>
            <w:tcW w:w="5529" w:type="dxa"/>
            <w:tcBorders>
              <w:top w:val="nil"/>
              <w:left w:val="nil"/>
              <w:right w:val="nil"/>
            </w:tcBorders>
            <w:shd w:val="clear" w:color="auto" w:fill="auto"/>
            <w:noWrap/>
            <w:vAlign w:val="center"/>
          </w:tcPr>
          <w:p w14:paraId="08350AA4" w14:textId="77777777" w:rsidR="00DA54F3" w:rsidRPr="001B02FE" w:rsidRDefault="00DA54F3" w:rsidP="00A535DB">
            <w:pPr>
              <w:spacing w:after="0" w:line="240" w:lineRule="auto"/>
              <w:rPr>
                <w:rFonts w:eastAsia="Times New Roman" w:cstheme="minorHAnsi"/>
                <w:sz w:val="20"/>
                <w:szCs w:val="20"/>
                <w:lang w:eastAsia="en-GB"/>
              </w:rPr>
            </w:pPr>
          </w:p>
        </w:tc>
        <w:tc>
          <w:tcPr>
            <w:tcW w:w="850" w:type="dxa"/>
            <w:tcBorders>
              <w:top w:val="nil"/>
              <w:left w:val="nil"/>
              <w:right w:val="nil"/>
            </w:tcBorders>
            <w:shd w:val="clear" w:color="auto" w:fill="auto"/>
            <w:noWrap/>
            <w:vAlign w:val="center"/>
          </w:tcPr>
          <w:p w14:paraId="75E5D977"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right w:val="nil"/>
            </w:tcBorders>
            <w:vAlign w:val="center"/>
          </w:tcPr>
          <w:p w14:paraId="0DD4AAA9" w14:textId="77777777" w:rsidR="00DA54F3" w:rsidRPr="001B02FE" w:rsidRDefault="00DA54F3" w:rsidP="00A535DB">
            <w:pPr>
              <w:spacing w:after="0" w:line="240" w:lineRule="auto"/>
              <w:jc w:val="right"/>
              <w:rPr>
                <w:rFonts w:eastAsia="Times New Roman" w:cstheme="minorHAnsi"/>
                <w:b/>
                <w:bCs/>
                <w:sz w:val="20"/>
                <w:szCs w:val="20"/>
                <w:lang w:eastAsia="en-GB"/>
              </w:rPr>
            </w:pPr>
          </w:p>
          <w:p w14:paraId="32A3D5C2" w14:textId="77777777" w:rsidR="00DA54F3" w:rsidRPr="001B02FE" w:rsidRDefault="00DA54F3" w:rsidP="00A535DB">
            <w:pPr>
              <w:spacing w:after="0" w:line="240" w:lineRule="auto"/>
              <w:jc w:val="right"/>
              <w:rPr>
                <w:rFonts w:eastAsia="Times New Roman" w:cstheme="minorHAnsi"/>
                <w:b/>
                <w:bCs/>
                <w:sz w:val="20"/>
                <w:szCs w:val="20"/>
                <w:lang w:eastAsia="en-GB"/>
              </w:rPr>
            </w:pPr>
          </w:p>
          <w:p w14:paraId="524C4E70"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Year ended</w:t>
            </w:r>
          </w:p>
          <w:p w14:paraId="546A0C28"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 xml:space="preserve"> 31 December 2019</w:t>
            </w:r>
          </w:p>
        </w:tc>
        <w:tc>
          <w:tcPr>
            <w:tcW w:w="1692" w:type="dxa"/>
            <w:tcBorders>
              <w:top w:val="nil"/>
              <w:left w:val="nil"/>
              <w:right w:val="nil"/>
            </w:tcBorders>
            <w:shd w:val="clear" w:color="auto" w:fill="auto"/>
            <w:noWrap/>
            <w:vAlign w:val="bottom"/>
          </w:tcPr>
          <w:p w14:paraId="036142D6" w14:textId="77777777" w:rsidR="00DA54F3" w:rsidRPr="001B02FE" w:rsidRDefault="00DA54F3" w:rsidP="00A535DB">
            <w:pPr>
              <w:spacing w:after="0" w:line="240" w:lineRule="auto"/>
              <w:ind w:right="143"/>
              <w:jc w:val="right"/>
              <w:rPr>
                <w:rFonts w:eastAsia="Times New Roman" w:cstheme="minorHAnsi"/>
                <w:bCs/>
                <w:sz w:val="20"/>
                <w:szCs w:val="20"/>
                <w:lang w:eastAsia="en-GB"/>
              </w:rPr>
            </w:pPr>
          </w:p>
          <w:p w14:paraId="454DB939" w14:textId="77777777" w:rsidR="00DA54F3" w:rsidRPr="001B02FE" w:rsidRDefault="00DA54F3" w:rsidP="00A535DB">
            <w:pPr>
              <w:spacing w:after="0" w:line="240" w:lineRule="auto"/>
              <w:ind w:right="143"/>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Year ended </w:t>
            </w:r>
          </w:p>
          <w:p w14:paraId="51C7A35C" w14:textId="77777777" w:rsidR="00DA54F3" w:rsidRPr="001B02FE" w:rsidRDefault="00DA54F3" w:rsidP="00A535DB">
            <w:pPr>
              <w:spacing w:after="0" w:line="240" w:lineRule="auto"/>
              <w:ind w:right="143"/>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31 December </w:t>
            </w:r>
          </w:p>
          <w:p w14:paraId="72D2F096" w14:textId="77777777" w:rsidR="00DA54F3" w:rsidRPr="001B02FE" w:rsidRDefault="00DA54F3" w:rsidP="00A535DB">
            <w:pPr>
              <w:spacing w:after="0" w:line="240" w:lineRule="auto"/>
              <w:ind w:right="143"/>
              <w:jc w:val="right"/>
              <w:rPr>
                <w:rFonts w:eastAsia="Times New Roman" w:cstheme="minorHAnsi"/>
                <w:bCs/>
                <w:sz w:val="20"/>
                <w:szCs w:val="20"/>
                <w:lang w:eastAsia="en-GB"/>
              </w:rPr>
            </w:pPr>
            <w:r w:rsidRPr="001B02FE">
              <w:rPr>
                <w:rFonts w:eastAsia="Times New Roman" w:cstheme="minorHAnsi"/>
                <w:bCs/>
                <w:sz w:val="20"/>
                <w:szCs w:val="20"/>
                <w:lang w:eastAsia="en-GB"/>
              </w:rPr>
              <w:t>2018</w:t>
            </w:r>
          </w:p>
        </w:tc>
      </w:tr>
      <w:tr w:rsidR="00DA54F3" w:rsidRPr="001B02FE" w14:paraId="42B776D1" w14:textId="77777777" w:rsidTr="00A535DB">
        <w:trPr>
          <w:trHeight w:val="289"/>
        </w:trPr>
        <w:tc>
          <w:tcPr>
            <w:tcW w:w="5529" w:type="dxa"/>
            <w:tcBorders>
              <w:left w:val="nil"/>
              <w:bottom w:val="single" w:sz="4" w:space="0" w:color="auto"/>
              <w:right w:val="nil"/>
            </w:tcBorders>
            <w:shd w:val="clear" w:color="auto" w:fill="auto"/>
            <w:noWrap/>
            <w:vAlign w:val="center"/>
          </w:tcPr>
          <w:p w14:paraId="2D79A5E6" w14:textId="77777777" w:rsidR="00DA54F3" w:rsidRPr="001B02FE" w:rsidRDefault="00DA54F3" w:rsidP="00A535DB">
            <w:pPr>
              <w:spacing w:after="0" w:line="240" w:lineRule="auto"/>
              <w:rPr>
                <w:rFonts w:eastAsia="Times New Roman" w:cstheme="minorHAnsi"/>
                <w:sz w:val="20"/>
                <w:szCs w:val="20"/>
                <w:lang w:eastAsia="en-GB"/>
              </w:rPr>
            </w:pPr>
          </w:p>
        </w:tc>
        <w:tc>
          <w:tcPr>
            <w:tcW w:w="850" w:type="dxa"/>
            <w:tcBorders>
              <w:left w:val="nil"/>
              <w:bottom w:val="single" w:sz="4" w:space="0" w:color="auto"/>
              <w:right w:val="nil"/>
            </w:tcBorders>
            <w:shd w:val="clear" w:color="auto" w:fill="auto"/>
            <w:noWrap/>
            <w:vAlign w:val="center"/>
          </w:tcPr>
          <w:p w14:paraId="2EDE3356"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left w:val="nil"/>
              <w:bottom w:val="single" w:sz="4" w:space="0" w:color="auto"/>
              <w:right w:val="nil"/>
            </w:tcBorders>
            <w:vAlign w:val="center"/>
          </w:tcPr>
          <w:p w14:paraId="1D64285C" w14:textId="77777777" w:rsidR="00DA54F3" w:rsidRPr="001B02FE" w:rsidRDefault="00DA54F3" w:rsidP="00A535DB">
            <w:pPr>
              <w:spacing w:after="0" w:line="240" w:lineRule="auto"/>
              <w:jc w:val="right"/>
              <w:rPr>
                <w:rFonts w:eastAsia="Times New Roman" w:cstheme="minorHAnsi"/>
                <w:b/>
                <w:bCs/>
                <w:sz w:val="20"/>
                <w:szCs w:val="20"/>
                <w:lang w:eastAsia="en-GB"/>
              </w:rPr>
            </w:pPr>
            <w:r w:rsidRPr="001B02FE">
              <w:rPr>
                <w:rFonts w:eastAsia="Times New Roman" w:cstheme="minorHAnsi"/>
                <w:b/>
                <w:bCs/>
                <w:sz w:val="20"/>
                <w:szCs w:val="20"/>
                <w:lang w:eastAsia="en-GB"/>
              </w:rPr>
              <w:t xml:space="preserve">£’000 </w:t>
            </w:r>
          </w:p>
        </w:tc>
        <w:tc>
          <w:tcPr>
            <w:tcW w:w="1692" w:type="dxa"/>
            <w:tcBorders>
              <w:left w:val="nil"/>
              <w:bottom w:val="single" w:sz="4" w:space="0" w:color="auto"/>
              <w:right w:val="nil"/>
            </w:tcBorders>
            <w:shd w:val="clear" w:color="auto" w:fill="auto"/>
            <w:noWrap/>
            <w:vAlign w:val="center"/>
          </w:tcPr>
          <w:p w14:paraId="266D1B27" w14:textId="77777777" w:rsidR="00DA54F3" w:rsidRPr="001B02FE" w:rsidRDefault="00DA54F3" w:rsidP="00A535DB">
            <w:pPr>
              <w:spacing w:after="0" w:line="240" w:lineRule="auto"/>
              <w:ind w:right="143"/>
              <w:jc w:val="right"/>
              <w:rPr>
                <w:rFonts w:eastAsia="Times New Roman" w:cstheme="minorHAnsi"/>
                <w:bCs/>
                <w:sz w:val="20"/>
                <w:szCs w:val="20"/>
                <w:lang w:eastAsia="en-GB"/>
              </w:rPr>
            </w:pPr>
            <w:r w:rsidRPr="001B02FE">
              <w:rPr>
                <w:rFonts w:eastAsia="Times New Roman" w:cstheme="minorHAnsi"/>
                <w:bCs/>
                <w:sz w:val="20"/>
                <w:szCs w:val="20"/>
                <w:lang w:eastAsia="en-GB"/>
              </w:rPr>
              <w:t xml:space="preserve">£’000 </w:t>
            </w:r>
          </w:p>
        </w:tc>
      </w:tr>
      <w:tr w:rsidR="00DA54F3" w:rsidRPr="001B02FE" w14:paraId="1F045095" w14:textId="77777777" w:rsidTr="00A535DB">
        <w:trPr>
          <w:trHeight w:val="289"/>
        </w:trPr>
        <w:tc>
          <w:tcPr>
            <w:tcW w:w="5529" w:type="dxa"/>
            <w:tcBorders>
              <w:top w:val="single" w:sz="4" w:space="0" w:color="auto"/>
              <w:left w:val="nil"/>
              <w:right w:val="nil"/>
            </w:tcBorders>
            <w:shd w:val="clear" w:color="auto" w:fill="auto"/>
            <w:noWrap/>
            <w:vAlign w:val="center"/>
          </w:tcPr>
          <w:p w14:paraId="13560CFD" w14:textId="77777777" w:rsidR="00DA54F3" w:rsidRPr="001B02FE" w:rsidRDefault="00DA54F3" w:rsidP="00A535DB">
            <w:pPr>
              <w:spacing w:after="0" w:line="240" w:lineRule="auto"/>
              <w:rPr>
                <w:rFonts w:eastAsia="Times New Roman" w:cstheme="minorHAnsi"/>
                <w:sz w:val="20"/>
                <w:szCs w:val="20"/>
                <w:lang w:eastAsia="en-GB"/>
              </w:rPr>
            </w:pPr>
          </w:p>
        </w:tc>
        <w:tc>
          <w:tcPr>
            <w:tcW w:w="850" w:type="dxa"/>
            <w:tcBorders>
              <w:top w:val="single" w:sz="4" w:space="0" w:color="auto"/>
              <w:left w:val="nil"/>
              <w:right w:val="nil"/>
            </w:tcBorders>
            <w:shd w:val="clear" w:color="auto" w:fill="auto"/>
            <w:noWrap/>
            <w:vAlign w:val="center"/>
          </w:tcPr>
          <w:p w14:paraId="673D1050" w14:textId="77777777" w:rsidR="00DA54F3" w:rsidRPr="001B02FE" w:rsidRDefault="00DA54F3" w:rsidP="00A535DB">
            <w:pPr>
              <w:spacing w:after="0" w:line="240" w:lineRule="auto"/>
              <w:jc w:val="center"/>
              <w:rPr>
                <w:rFonts w:eastAsia="Times New Roman" w:cstheme="minorHAnsi"/>
                <w:bCs/>
                <w:color w:val="000000"/>
                <w:sz w:val="20"/>
                <w:szCs w:val="20"/>
                <w:lang w:eastAsia="en-GB"/>
              </w:rPr>
            </w:pPr>
          </w:p>
        </w:tc>
        <w:tc>
          <w:tcPr>
            <w:tcW w:w="1678" w:type="dxa"/>
            <w:tcBorders>
              <w:top w:val="single" w:sz="4" w:space="0" w:color="auto"/>
              <w:left w:val="nil"/>
              <w:right w:val="nil"/>
            </w:tcBorders>
            <w:vAlign w:val="center"/>
          </w:tcPr>
          <w:p w14:paraId="2CA7B511" w14:textId="77777777" w:rsidR="00DA54F3" w:rsidRPr="001B02FE" w:rsidRDefault="00DA54F3" w:rsidP="00A535DB">
            <w:pPr>
              <w:spacing w:after="0" w:line="240" w:lineRule="auto"/>
              <w:jc w:val="right"/>
              <w:rPr>
                <w:rFonts w:eastAsia="Times New Roman" w:cstheme="minorHAnsi"/>
                <w:b/>
                <w:sz w:val="20"/>
                <w:szCs w:val="20"/>
                <w:lang w:eastAsia="en-GB"/>
              </w:rPr>
            </w:pPr>
          </w:p>
        </w:tc>
        <w:tc>
          <w:tcPr>
            <w:tcW w:w="1692" w:type="dxa"/>
            <w:tcBorders>
              <w:top w:val="single" w:sz="4" w:space="0" w:color="auto"/>
              <w:left w:val="nil"/>
              <w:right w:val="nil"/>
            </w:tcBorders>
            <w:shd w:val="clear" w:color="auto" w:fill="auto"/>
            <w:noWrap/>
            <w:vAlign w:val="center"/>
          </w:tcPr>
          <w:p w14:paraId="38DA0526" w14:textId="77777777" w:rsidR="00DA54F3" w:rsidRPr="001B02FE" w:rsidRDefault="00DA54F3" w:rsidP="00A535DB">
            <w:pPr>
              <w:spacing w:after="0" w:line="240" w:lineRule="auto"/>
              <w:ind w:right="143"/>
              <w:jc w:val="right"/>
              <w:rPr>
                <w:rFonts w:eastAsia="Times New Roman" w:cstheme="minorHAnsi"/>
                <w:sz w:val="20"/>
                <w:szCs w:val="20"/>
                <w:lang w:eastAsia="en-GB"/>
              </w:rPr>
            </w:pPr>
          </w:p>
        </w:tc>
      </w:tr>
      <w:tr w:rsidR="00DA54F3" w:rsidRPr="001B02FE" w14:paraId="1D44D1D3" w14:textId="77777777" w:rsidTr="00A535DB">
        <w:trPr>
          <w:trHeight w:val="289"/>
        </w:trPr>
        <w:tc>
          <w:tcPr>
            <w:tcW w:w="5529" w:type="dxa"/>
            <w:tcBorders>
              <w:left w:val="nil"/>
              <w:bottom w:val="single" w:sz="4" w:space="0" w:color="auto"/>
              <w:right w:val="nil"/>
            </w:tcBorders>
            <w:shd w:val="clear" w:color="auto" w:fill="auto"/>
            <w:noWrap/>
            <w:vAlign w:val="center"/>
          </w:tcPr>
          <w:p w14:paraId="03942C70" w14:textId="77777777" w:rsidR="00DA54F3" w:rsidRPr="001B02FE" w:rsidRDefault="00DA54F3" w:rsidP="00A535DB">
            <w:pPr>
              <w:spacing w:after="0" w:line="240" w:lineRule="auto"/>
              <w:rPr>
                <w:rFonts w:eastAsia="Times New Roman" w:cstheme="minorHAnsi"/>
                <w:bCs/>
                <w:sz w:val="20"/>
                <w:szCs w:val="20"/>
                <w:lang w:eastAsia="en-GB"/>
              </w:rPr>
            </w:pPr>
            <w:r w:rsidRPr="001B02FE">
              <w:rPr>
                <w:rFonts w:eastAsia="Times New Roman" w:cstheme="minorHAnsi"/>
                <w:bCs/>
                <w:sz w:val="20"/>
                <w:szCs w:val="20"/>
                <w:lang w:eastAsia="en-GB"/>
              </w:rPr>
              <w:t>Sales and marketing costs</w:t>
            </w:r>
          </w:p>
        </w:tc>
        <w:tc>
          <w:tcPr>
            <w:tcW w:w="850" w:type="dxa"/>
            <w:tcBorders>
              <w:left w:val="nil"/>
              <w:bottom w:val="single" w:sz="4" w:space="0" w:color="auto"/>
              <w:right w:val="nil"/>
            </w:tcBorders>
            <w:shd w:val="clear" w:color="auto" w:fill="auto"/>
            <w:noWrap/>
            <w:vAlign w:val="center"/>
          </w:tcPr>
          <w:p w14:paraId="66798307"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left w:val="nil"/>
              <w:bottom w:val="single" w:sz="4" w:space="0" w:color="auto"/>
              <w:right w:val="nil"/>
            </w:tcBorders>
            <w:vAlign w:val="center"/>
          </w:tcPr>
          <w:p w14:paraId="5EA4822D" w14:textId="61163537" w:rsidR="00DA54F3" w:rsidRPr="001B02FE" w:rsidRDefault="00DA54F3" w:rsidP="00A535DB">
            <w:pPr>
              <w:spacing w:after="0" w:line="240" w:lineRule="auto"/>
              <w:ind w:right="11"/>
              <w:jc w:val="right"/>
              <w:rPr>
                <w:rFonts w:eastAsia="Times New Roman" w:cstheme="minorHAnsi"/>
                <w:b/>
                <w:sz w:val="20"/>
                <w:szCs w:val="20"/>
                <w:lang w:eastAsia="en-GB"/>
              </w:rPr>
            </w:pPr>
            <w:r w:rsidRPr="001B02FE">
              <w:rPr>
                <w:rFonts w:eastAsia="Times New Roman" w:cstheme="minorHAnsi"/>
                <w:b/>
                <w:sz w:val="20"/>
                <w:szCs w:val="20"/>
                <w:lang w:eastAsia="en-GB"/>
              </w:rPr>
              <w:t>1</w:t>
            </w:r>
            <w:r w:rsidR="00294C0A">
              <w:rPr>
                <w:rFonts w:eastAsia="Times New Roman" w:cstheme="minorHAnsi"/>
                <w:b/>
                <w:sz w:val="20"/>
                <w:szCs w:val="20"/>
                <w:lang w:eastAsia="en-GB"/>
              </w:rPr>
              <w:t>7,527</w:t>
            </w:r>
          </w:p>
        </w:tc>
        <w:tc>
          <w:tcPr>
            <w:tcW w:w="1692" w:type="dxa"/>
            <w:tcBorders>
              <w:left w:val="nil"/>
              <w:bottom w:val="single" w:sz="4" w:space="0" w:color="auto"/>
              <w:right w:val="nil"/>
            </w:tcBorders>
            <w:shd w:val="clear" w:color="auto" w:fill="auto"/>
            <w:noWrap/>
            <w:vAlign w:val="center"/>
          </w:tcPr>
          <w:p w14:paraId="6822E1FF" w14:textId="2C046D0D" w:rsidR="00DA54F3" w:rsidRPr="001B02FE" w:rsidRDefault="00DA54F3" w:rsidP="00A535DB">
            <w:pPr>
              <w:spacing w:after="0" w:line="240" w:lineRule="auto"/>
              <w:ind w:right="11"/>
              <w:jc w:val="right"/>
              <w:rPr>
                <w:rFonts w:eastAsia="Times New Roman" w:cstheme="minorHAnsi"/>
                <w:bCs/>
                <w:sz w:val="20"/>
                <w:szCs w:val="20"/>
                <w:lang w:eastAsia="en-GB"/>
              </w:rPr>
            </w:pPr>
            <w:r w:rsidRPr="001B02FE">
              <w:rPr>
                <w:rFonts w:eastAsia="Times New Roman" w:cstheme="minorHAnsi"/>
                <w:bCs/>
                <w:sz w:val="20"/>
                <w:szCs w:val="20"/>
                <w:lang w:eastAsia="en-GB"/>
              </w:rPr>
              <w:t>10,</w:t>
            </w:r>
            <w:r w:rsidR="00294C0A">
              <w:rPr>
                <w:rFonts w:eastAsia="Times New Roman" w:cstheme="minorHAnsi"/>
                <w:bCs/>
                <w:sz w:val="20"/>
                <w:szCs w:val="20"/>
                <w:lang w:eastAsia="en-GB"/>
              </w:rPr>
              <w:t>813</w:t>
            </w:r>
          </w:p>
        </w:tc>
      </w:tr>
      <w:tr w:rsidR="00DA54F3" w:rsidRPr="001B02FE" w14:paraId="75515990" w14:textId="77777777" w:rsidTr="00A535DB">
        <w:trPr>
          <w:trHeight w:val="289"/>
        </w:trPr>
        <w:tc>
          <w:tcPr>
            <w:tcW w:w="5529" w:type="dxa"/>
            <w:tcBorders>
              <w:top w:val="nil"/>
              <w:left w:val="single" w:sz="4" w:space="0" w:color="auto"/>
              <w:bottom w:val="nil"/>
              <w:right w:val="nil"/>
            </w:tcBorders>
            <w:shd w:val="clear" w:color="auto" w:fill="auto"/>
            <w:noWrap/>
            <w:vAlign w:val="center"/>
          </w:tcPr>
          <w:p w14:paraId="74324B7D" w14:textId="77777777" w:rsidR="00DA54F3" w:rsidRPr="001B02FE" w:rsidRDefault="00DA54F3" w:rsidP="00A535DB">
            <w:pPr>
              <w:spacing w:after="0" w:line="240" w:lineRule="auto"/>
              <w:rPr>
                <w:rFonts w:eastAsia="Times New Roman" w:cstheme="minorHAnsi"/>
                <w:bCs/>
                <w:sz w:val="20"/>
                <w:szCs w:val="20"/>
                <w:lang w:eastAsia="en-GB"/>
              </w:rPr>
            </w:pPr>
            <w:r w:rsidRPr="001B02FE">
              <w:rPr>
                <w:rFonts w:eastAsia="Times New Roman" w:cstheme="minorHAnsi"/>
                <w:bCs/>
                <w:sz w:val="20"/>
                <w:szCs w:val="20"/>
                <w:lang w:eastAsia="en-GB"/>
              </w:rPr>
              <w:t>Operating costs</w:t>
            </w:r>
          </w:p>
        </w:tc>
        <w:tc>
          <w:tcPr>
            <w:tcW w:w="850" w:type="dxa"/>
            <w:tcBorders>
              <w:top w:val="nil"/>
              <w:left w:val="nil"/>
              <w:bottom w:val="nil"/>
              <w:right w:val="nil"/>
            </w:tcBorders>
            <w:shd w:val="clear" w:color="auto" w:fill="auto"/>
            <w:noWrap/>
            <w:vAlign w:val="center"/>
          </w:tcPr>
          <w:p w14:paraId="4886F152"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bottom w:val="nil"/>
              <w:right w:val="nil"/>
            </w:tcBorders>
            <w:vAlign w:val="center"/>
          </w:tcPr>
          <w:p w14:paraId="7BE4BAD1" w14:textId="40D85F0B" w:rsidR="00DA54F3" w:rsidRPr="001B02FE" w:rsidRDefault="00294C0A" w:rsidP="00A535DB">
            <w:pPr>
              <w:tabs>
                <w:tab w:val="decimal" w:pos="1451"/>
              </w:tabs>
              <w:spacing w:after="0" w:line="240" w:lineRule="auto"/>
              <w:ind w:right="-131"/>
              <w:jc w:val="both"/>
              <w:rPr>
                <w:rFonts w:eastAsia="Times New Roman" w:cstheme="minorHAnsi"/>
                <w:b/>
                <w:sz w:val="20"/>
                <w:szCs w:val="20"/>
                <w:lang w:eastAsia="en-GB"/>
              </w:rPr>
            </w:pPr>
            <w:r>
              <w:rPr>
                <w:rFonts w:eastAsia="Times New Roman" w:cstheme="minorHAnsi"/>
                <w:b/>
                <w:sz w:val="20"/>
                <w:szCs w:val="20"/>
                <w:lang w:eastAsia="en-GB"/>
              </w:rPr>
              <w:t>5,149</w:t>
            </w:r>
          </w:p>
        </w:tc>
        <w:tc>
          <w:tcPr>
            <w:tcW w:w="1692" w:type="dxa"/>
            <w:tcBorders>
              <w:top w:val="nil"/>
              <w:left w:val="nil"/>
              <w:bottom w:val="nil"/>
              <w:right w:val="single" w:sz="4" w:space="0" w:color="auto"/>
            </w:tcBorders>
            <w:shd w:val="clear" w:color="auto" w:fill="auto"/>
            <w:noWrap/>
            <w:vAlign w:val="center"/>
          </w:tcPr>
          <w:p w14:paraId="10DFD093" w14:textId="47C3023C" w:rsidR="00DA54F3" w:rsidRPr="001B02FE" w:rsidRDefault="00DA54F3" w:rsidP="00A535DB">
            <w:pPr>
              <w:tabs>
                <w:tab w:val="decimal" w:pos="1451"/>
              </w:tabs>
              <w:spacing w:after="0" w:line="240" w:lineRule="auto"/>
              <w:ind w:right="-131"/>
              <w:jc w:val="both"/>
              <w:rPr>
                <w:rFonts w:eastAsia="Times New Roman" w:cstheme="minorHAnsi"/>
                <w:bCs/>
                <w:sz w:val="20"/>
                <w:szCs w:val="20"/>
                <w:lang w:eastAsia="en-GB"/>
              </w:rPr>
            </w:pPr>
            <w:r w:rsidRPr="001B02FE">
              <w:rPr>
                <w:rFonts w:eastAsia="Times New Roman" w:cstheme="minorHAnsi"/>
                <w:bCs/>
                <w:sz w:val="20"/>
                <w:szCs w:val="20"/>
                <w:lang w:eastAsia="en-GB"/>
              </w:rPr>
              <w:t>3,</w:t>
            </w:r>
            <w:r w:rsidR="00294C0A">
              <w:rPr>
                <w:rFonts w:eastAsia="Times New Roman" w:cstheme="minorHAnsi"/>
                <w:bCs/>
                <w:sz w:val="20"/>
                <w:szCs w:val="20"/>
                <w:lang w:eastAsia="en-GB"/>
              </w:rPr>
              <w:t>690</w:t>
            </w:r>
          </w:p>
        </w:tc>
      </w:tr>
      <w:tr w:rsidR="00DA54F3" w:rsidRPr="001B02FE" w14:paraId="276D5D73" w14:textId="77777777" w:rsidTr="00A535DB">
        <w:trPr>
          <w:trHeight w:val="289"/>
        </w:trPr>
        <w:tc>
          <w:tcPr>
            <w:tcW w:w="5529" w:type="dxa"/>
            <w:tcBorders>
              <w:top w:val="nil"/>
              <w:left w:val="single" w:sz="4" w:space="0" w:color="auto"/>
              <w:bottom w:val="nil"/>
              <w:right w:val="nil"/>
            </w:tcBorders>
            <w:shd w:val="clear" w:color="auto" w:fill="auto"/>
            <w:noWrap/>
            <w:vAlign w:val="center"/>
          </w:tcPr>
          <w:p w14:paraId="4CE5D210" w14:textId="77777777" w:rsidR="00DA54F3" w:rsidRPr="001B02FE" w:rsidRDefault="00DA54F3" w:rsidP="00A535DB">
            <w:pPr>
              <w:spacing w:after="0" w:line="240" w:lineRule="auto"/>
              <w:rPr>
                <w:rFonts w:eastAsia="Times New Roman" w:cstheme="minorHAnsi"/>
                <w:bCs/>
                <w:sz w:val="20"/>
                <w:szCs w:val="20"/>
                <w:lang w:eastAsia="en-GB"/>
              </w:rPr>
            </w:pPr>
            <w:r w:rsidRPr="001B02FE">
              <w:rPr>
                <w:rFonts w:eastAsia="Times New Roman" w:cstheme="minorHAnsi"/>
                <w:bCs/>
                <w:sz w:val="20"/>
                <w:szCs w:val="20"/>
                <w:lang w:eastAsia="en-GB"/>
              </w:rPr>
              <w:t>Depreciation and amortisation</w:t>
            </w:r>
          </w:p>
        </w:tc>
        <w:tc>
          <w:tcPr>
            <w:tcW w:w="850" w:type="dxa"/>
            <w:tcBorders>
              <w:top w:val="nil"/>
              <w:left w:val="nil"/>
              <w:bottom w:val="nil"/>
              <w:right w:val="nil"/>
            </w:tcBorders>
            <w:shd w:val="clear" w:color="auto" w:fill="auto"/>
            <w:noWrap/>
            <w:vAlign w:val="center"/>
          </w:tcPr>
          <w:p w14:paraId="27B88741"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bottom w:val="nil"/>
              <w:right w:val="nil"/>
            </w:tcBorders>
            <w:vAlign w:val="center"/>
          </w:tcPr>
          <w:p w14:paraId="6D29A17A" w14:textId="77777777" w:rsidR="00DA54F3" w:rsidRPr="001B02FE" w:rsidRDefault="00DA54F3" w:rsidP="00A535DB">
            <w:pPr>
              <w:tabs>
                <w:tab w:val="decimal" w:pos="1451"/>
              </w:tabs>
              <w:spacing w:after="0" w:line="240" w:lineRule="auto"/>
              <w:ind w:right="-131"/>
              <w:jc w:val="both"/>
              <w:rPr>
                <w:rFonts w:eastAsia="Times New Roman" w:cstheme="minorHAnsi"/>
                <w:b/>
                <w:sz w:val="20"/>
                <w:szCs w:val="20"/>
                <w:lang w:eastAsia="en-GB"/>
              </w:rPr>
            </w:pPr>
            <w:r w:rsidRPr="001B02FE">
              <w:rPr>
                <w:rFonts w:eastAsia="Times New Roman" w:cstheme="minorHAnsi"/>
                <w:b/>
                <w:sz w:val="20"/>
                <w:szCs w:val="20"/>
                <w:lang w:eastAsia="en-GB"/>
              </w:rPr>
              <w:t>2,774</w:t>
            </w:r>
          </w:p>
        </w:tc>
        <w:tc>
          <w:tcPr>
            <w:tcW w:w="1692" w:type="dxa"/>
            <w:tcBorders>
              <w:top w:val="nil"/>
              <w:left w:val="nil"/>
              <w:bottom w:val="nil"/>
              <w:right w:val="single" w:sz="4" w:space="0" w:color="auto"/>
            </w:tcBorders>
            <w:shd w:val="clear" w:color="auto" w:fill="auto"/>
            <w:noWrap/>
            <w:vAlign w:val="center"/>
          </w:tcPr>
          <w:p w14:paraId="7124AF7E" w14:textId="77777777" w:rsidR="00DA54F3" w:rsidRPr="001B02FE" w:rsidRDefault="00DA54F3" w:rsidP="00A535DB">
            <w:pPr>
              <w:tabs>
                <w:tab w:val="decimal" w:pos="1451"/>
              </w:tabs>
              <w:spacing w:after="0" w:line="240" w:lineRule="auto"/>
              <w:ind w:right="-131"/>
              <w:jc w:val="both"/>
              <w:rPr>
                <w:rFonts w:eastAsia="Times New Roman" w:cstheme="minorHAnsi"/>
                <w:bCs/>
                <w:sz w:val="20"/>
                <w:szCs w:val="20"/>
                <w:lang w:eastAsia="en-GB"/>
              </w:rPr>
            </w:pPr>
            <w:r w:rsidRPr="001B02FE">
              <w:rPr>
                <w:rFonts w:eastAsia="Times New Roman" w:cstheme="minorHAnsi"/>
                <w:bCs/>
                <w:sz w:val="20"/>
                <w:szCs w:val="20"/>
                <w:lang w:eastAsia="en-GB"/>
              </w:rPr>
              <w:t>926</w:t>
            </w:r>
          </w:p>
        </w:tc>
      </w:tr>
      <w:tr w:rsidR="00DA54F3" w:rsidRPr="001B02FE" w14:paraId="74B7AD94" w14:textId="77777777" w:rsidTr="00A535DB">
        <w:trPr>
          <w:trHeight w:val="289"/>
        </w:trPr>
        <w:tc>
          <w:tcPr>
            <w:tcW w:w="5529" w:type="dxa"/>
            <w:tcBorders>
              <w:top w:val="nil"/>
              <w:left w:val="single" w:sz="4" w:space="0" w:color="auto"/>
              <w:bottom w:val="nil"/>
              <w:right w:val="nil"/>
            </w:tcBorders>
            <w:shd w:val="clear" w:color="auto" w:fill="auto"/>
            <w:noWrap/>
            <w:vAlign w:val="center"/>
          </w:tcPr>
          <w:p w14:paraId="29A6D52D" w14:textId="77777777" w:rsidR="00DA54F3" w:rsidRPr="001B02FE" w:rsidRDefault="00DA54F3" w:rsidP="00A535DB">
            <w:pPr>
              <w:spacing w:after="0" w:line="240" w:lineRule="auto"/>
              <w:rPr>
                <w:rFonts w:eastAsia="Times New Roman" w:cstheme="minorHAnsi"/>
                <w:bCs/>
                <w:sz w:val="20"/>
                <w:szCs w:val="20"/>
                <w:lang w:eastAsia="en-GB"/>
              </w:rPr>
            </w:pPr>
            <w:r w:rsidRPr="001B02FE">
              <w:rPr>
                <w:rFonts w:eastAsia="Times New Roman" w:cstheme="minorHAnsi"/>
                <w:bCs/>
                <w:sz w:val="20"/>
                <w:szCs w:val="20"/>
                <w:lang w:eastAsia="en-GB"/>
              </w:rPr>
              <w:t>Share based payment charge (1)</w:t>
            </w:r>
          </w:p>
        </w:tc>
        <w:tc>
          <w:tcPr>
            <w:tcW w:w="850" w:type="dxa"/>
            <w:tcBorders>
              <w:top w:val="nil"/>
              <w:left w:val="nil"/>
              <w:bottom w:val="nil"/>
              <w:right w:val="nil"/>
            </w:tcBorders>
            <w:shd w:val="clear" w:color="auto" w:fill="auto"/>
            <w:noWrap/>
            <w:vAlign w:val="center"/>
          </w:tcPr>
          <w:p w14:paraId="004CF55F"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bottom w:val="nil"/>
              <w:right w:val="nil"/>
            </w:tcBorders>
            <w:vAlign w:val="center"/>
          </w:tcPr>
          <w:p w14:paraId="236DDEB5" w14:textId="77777777" w:rsidR="00DA54F3" w:rsidRPr="001B02FE" w:rsidRDefault="00DA54F3" w:rsidP="00A535DB">
            <w:pPr>
              <w:tabs>
                <w:tab w:val="decimal" w:pos="1451"/>
              </w:tabs>
              <w:spacing w:after="0" w:line="240" w:lineRule="auto"/>
              <w:ind w:right="-131"/>
              <w:jc w:val="both"/>
              <w:rPr>
                <w:rFonts w:eastAsia="Times New Roman" w:cstheme="minorHAnsi"/>
                <w:b/>
                <w:sz w:val="20"/>
                <w:szCs w:val="20"/>
                <w:lang w:eastAsia="en-GB"/>
              </w:rPr>
            </w:pPr>
            <w:r w:rsidRPr="001B02FE">
              <w:rPr>
                <w:rFonts w:eastAsia="Times New Roman" w:cstheme="minorHAnsi"/>
                <w:b/>
                <w:sz w:val="20"/>
                <w:szCs w:val="20"/>
                <w:lang w:eastAsia="en-GB"/>
              </w:rPr>
              <w:t>1,165</w:t>
            </w:r>
          </w:p>
        </w:tc>
        <w:tc>
          <w:tcPr>
            <w:tcW w:w="1692" w:type="dxa"/>
            <w:tcBorders>
              <w:top w:val="nil"/>
              <w:left w:val="nil"/>
              <w:bottom w:val="nil"/>
              <w:right w:val="single" w:sz="4" w:space="0" w:color="auto"/>
            </w:tcBorders>
            <w:shd w:val="clear" w:color="auto" w:fill="auto"/>
            <w:noWrap/>
            <w:vAlign w:val="center"/>
          </w:tcPr>
          <w:p w14:paraId="49058B24" w14:textId="77777777" w:rsidR="00DA54F3" w:rsidRPr="001B02FE" w:rsidRDefault="00DA54F3" w:rsidP="00A535DB">
            <w:pPr>
              <w:tabs>
                <w:tab w:val="decimal" w:pos="1451"/>
              </w:tabs>
              <w:spacing w:after="0" w:line="240" w:lineRule="auto"/>
              <w:ind w:right="-131"/>
              <w:jc w:val="both"/>
              <w:rPr>
                <w:rFonts w:eastAsia="Times New Roman" w:cstheme="minorHAnsi"/>
                <w:bCs/>
                <w:sz w:val="20"/>
                <w:szCs w:val="20"/>
                <w:lang w:eastAsia="en-GB"/>
              </w:rPr>
            </w:pPr>
            <w:r w:rsidRPr="001B02FE">
              <w:rPr>
                <w:rFonts w:eastAsia="Times New Roman" w:cstheme="minorHAnsi"/>
                <w:bCs/>
                <w:sz w:val="20"/>
                <w:szCs w:val="20"/>
                <w:lang w:eastAsia="en-GB"/>
              </w:rPr>
              <w:t>1,922</w:t>
            </w:r>
          </w:p>
        </w:tc>
      </w:tr>
      <w:tr w:rsidR="00DA54F3" w:rsidRPr="001B02FE" w14:paraId="749478F6" w14:textId="77777777" w:rsidTr="00A535DB">
        <w:trPr>
          <w:trHeight w:val="289"/>
        </w:trPr>
        <w:tc>
          <w:tcPr>
            <w:tcW w:w="5529" w:type="dxa"/>
            <w:tcBorders>
              <w:top w:val="nil"/>
              <w:left w:val="single" w:sz="4" w:space="0" w:color="auto"/>
              <w:right w:val="nil"/>
            </w:tcBorders>
            <w:shd w:val="clear" w:color="auto" w:fill="auto"/>
            <w:noWrap/>
            <w:vAlign w:val="center"/>
          </w:tcPr>
          <w:p w14:paraId="458B0E3C" w14:textId="77777777" w:rsidR="00DA54F3" w:rsidRPr="001B02FE" w:rsidRDefault="00DA54F3" w:rsidP="00A535DB">
            <w:pPr>
              <w:spacing w:after="0" w:line="240" w:lineRule="auto"/>
              <w:rPr>
                <w:rFonts w:eastAsia="Times New Roman" w:cstheme="minorHAnsi"/>
                <w:bCs/>
                <w:sz w:val="20"/>
                <w:szCs w:val="20"/>
                <w:lang w:eastAsia="en-GB"/>
              </w:rPr>
            </w:pPr>
            <w:r w:rsidRPr="001B02FE">
              <w:rPr>
                <w:rFonts w:eastAsia="Times New Roman" w:cstheme="minorHAnsi"/>
                <w:bCs/>
                <w:sz w:val="20"/>
                <w:szCs w:val="20"/>
                <w:lang w:eastAsia="en-GB"/>
              </w:rPr>
              <w:t>Costs associated with integration of PhD (2)</w:t>
            </w:r>
          </w:p>
        </w:tc>
        <w:tc>
          <w:tcPr>
            <w:tcW w:w="850" w:type="dxa"/>
            <w:tcBorders>
              <w:top w:val="nil"/>
              <w:left w:val="nil"/>
              <w:right w:val="nil"/>
            </w:tcBorders>
            <w:shd w:val="clear" w:color="auto" w:fill="auto"/>
            <w:noWrap/>
            <w:vAlign w:val="center"/>
          </w:tcPr>
          <w:p w14:paraId="02ADFD3A"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nil"/>
              <w:left w:val="nil"/>
              <w:right w:val="nil"/>
            </w:tcBorders>
            <w:vAlign w:val="center"/>
          </w:tcPr>
          <w:p w14:paraId="67D83CFC" w14:textId="77777777" w:rsidR="00DA54F3" w:rsidRPr="001B02FE" w:rsidRDefault="00DA54F3" w:rsidP="00A535DB">
            <w:pPr>
              <w:tabs>
                <w:tab w:val="decimal" w:pos="1451"/>
              </w:tabs>
              <w:spacing w:after="0" w:line="240" w:lineRule="auto"/>
              <w:ind w:right="-131"/>
              <w:jc w:val="both"/>
              <w:rPr>
                <w:rFonts w:eastAsia="Times New Roman" w:cstheme="minorHAnsi"/>
                <w:b/>
                <w:sz w:val="20"/>
                <w:szCs w:val="20"/>
                <w:lang w:eastAsia="en-GB"/>
              </w:rPr>
            </w:pPr>
            <w:r w:rsidRPr="001B02FE">
              <w:rPr>
                <w:rFonts w:eastAsia="Times New Roman" w:cstheme="minorHAnsi"/>
                <w:b/>
                <w:sz w:val="20"/>
                <w:szCs w:val="20"/>
                <w:lang w:eastAsia="en-GB"/>
              </w:rPr>
              <w:t>637</w:t>
            </w:r>
          </w:p>
        </w:tc>
        <w:tc>
          <w:tcPr>
            <w:tcW w:w="1692" w:type="dxa"/>
            <w:tcBorders>
              <w:top w:val="nil"/>
              <w:left w:val="nil"/>
              <w:right w:val="single" w:sz="4" w:space="0" w:color="auto"/>
            </w:tcBorders>
            <w:shd w:val="clear" w:color="auto" w:fill="auto"/>
            <w:noWrap/>
            <w:vAlign w:val="center"/>
          </w:tcPr>
          <w:p w14:paraId="6DA8821D" w14:textId="77777777" w:rsidR="00DA54F3" w:rsidRPr="001B02FE" w:rsidRDefault="00DA54F3" w:rsidP="00A535DB">
            <w:pPr>
              <w:tabs>
                <w:tab w:val="decimal" w:pos="1451"/>
              </w:tabs>
              <w:spacing w:after="0" w:line="240" w:lineRule="auto"/>
              <w:ind w:right="-131"/>
              <w:jc w:val="both"/>
              <w:rPr>
                <w:rFonts w:eastAsia="Times New Roman" w:cstheme="minorHAnsi"/>
                <w:bCs/>
                <w:sz w:val="20"/>
                <w:szCs w:val="20"/>
                <w:lang w:eastAsia="en-GB"/>
              </w:rPr>
            </w:pPr>
            <w:r w:rsidRPr="001B02FE">
              <w:rPr>
                <w:rFonts w:eastAsia="Times New Roman" w:cstheme="minorHAnsi"/>
                <w:bCs/>
                <w:sz w:val="20"/>
                <w:szCs w:val="20"/>
                <w:lang w:eastAsia="en-GB"/>
              </w:rPr>
              <w:t>599</w:t>
            </w:r>
          </w:p>
        </w:tc>
      </w:tr>
      <w:tr w:rsidR="00DA54F3" w:rsidRPr="001B02FE" w14:paraId="4EEA43C6" w14:textId="77777777" w:rsidTr="00A535DB">
        <w:trPr>
          <w:trHeight w:val="289"/>
        </w:trPr>
        <w:tc>
          <w:tcPr>
            <w:tcW w:w="5529" w:type="dxa"/>
            <w:tcBorders>
              <w:top w:val="single" w:sz="4" w:space="0" w:color="auto"/>
              <w:left w:val="nil"/>
              <w:bottom w:val="nil"/>
              <w:right w:val="nil"/>
            </w:tcBorders>
            <w:shd w:val="clear" w:color="auto" w:fill="auto"/>
            <w:noWrap/>
            <w:vAlign w:val="center"/>
          </w:tcPr>
          <w:p w14:paraId="7EF15AE4" w14:textId="77777777" w:rsidR="00DA54F3" w:rsidRPr="001B02FE" w:rsidRDefault="00DA54F3" w:rsidP="00A535DB">
            <w:pPr>
              <w:spacing w:after="0" w:line="240" w:lineRule="auto"/>
              <w:rPr>
                <w:rFonts w:eastAsia="Times New Roman" w:cstheme="minorHAnsi"/>
                <w:bCs/>
                <w:sz w:val="20"/>
                <w:szCs w:val="20"/>
                <w:lang w:eastAsia="en-GB"/>
              </w:rPr>
            </w:pPr>
            <w:r w:rsidRPr="001B02FE">
              <w:rPr>
                <w:rFonts w:eastAsia="Times New Roman" w:cstheme="minorHAnsi"/>
                <w:bCs/>
                <w:sz w:val="20"/>
                <w:szCs w:val="20"/>
                <w:lang w:eastAsia="en-GB"/>
              </w:rPr>
              <w:t>Administrative expenses</w:t>
            </w:r>
          </w:p>
        </w:tc>
        <w:tc>
          <w:tcPr>
            <w:tcW w:w="850" w:type="dxa"/>
            <w:tcBorders>
              <w:top w:val="single" w:sz="4" w:space="0" w:color="auto"/>
              <w:left w:val="nil"/>
              <w:bottom w:val="nil"/>
              <w:right w:val="nil"/>
            </w:tcBorders>
            <w:shd w:val="clear" w:color="auto" w:fill="auto"/>
            <w:noWrap/>
            <w:vAlign w:val="center"/>
          </w:tcPr>
          <w:p w14:paraId="0C38E1D4" w14:textId="77777777" w:rsidR="00DA54F3" w:rsidRPr="001B02FE" w:rsidRDefault="00DA54F3" w:rsidP="00A535DB">
            <w:pPr>
              <w:spacing w:after="0" w:line="240" w:lineRule="auto"/>
              <w:jc w:val="center"/>
              <w:rPr>
                <w:rFonts w:eastAsia="Times New Roman" w:cstheme="minorHAnsi"/>
                <w:sz w:val="20"/>
                <w:szCs w:val="20"/>
                <w:lang w:eastAsia="en-GB"/>
              </w:rPr>
            </w:pPr>
          </w:p>
        </w:tc>
        <w:tc>
          <w:tcPr>
            <w:tcW w:w="1678" w:type="dxa"/>
            <w:tcBorders>
              <w:top w:val="single" w:sz="4" w:space="0" w:color="auto"/>
              <w:left w:val="nil"/>
              <w:bottom w:val="nil"/>
              <w:right w:val="nil"/>
            </w:tcBorders>
            <w:vAlign w:val="center"/>
          </w:tcPr>
          <w:p w14:paraId="7D3C455F" w14:textId="1F399E73" w:rsidR="00DA54F3" w:rsidRPr="001B02FE" w:rsidRDefault="00294C0A" w:rsidP="00A535DB">
            <w:pPr>
              <w:spacing w:after="0" w:line="240" w:lineRule="auto"/>
              <w:ind w:right="11"/>
              <w:jc w:val="right"/>
              <w:rPr>
                <w:rFonts w:eastAsia="Times New Roman" w:cstheme="minorHAnsi"/>
                <w:b/>
                <w:sz w:val="20"/>
                <w:szCs w:val="20"/>
                <w:lang w:eastAsia="en-GB"/>
              </w:rPr>
            </w:pPr>
            <w:r>
              <w:rPr>
                <w:rFonts w:eastAsia="Times New Roman" w:cstheme="minorHAnsi"/>
                <w:b/>
                <w:sz w:val="20"/>
                <w:szCs w:val="20"/>
                <w:lang w:eastAsia="en-GB"/>
              </w:rPr>
              <w:t>9,725</w:t>
            </w:r>
          </w:p>
        </w:tc>
        <w:tc>
          <w:tcPr>
            <w:tcW w:w="1692" w:type="dxa"/>
            <w:tcBorders>
              <w:top w:val="single" w:sz="4" w:space="0" w:color="auto"/>
              <w:left w:val="nil"/>
              <w:bottom w:val="nil"/>
              <w:right w:val="nil"/>
            </w:tcBorders>
            <w:shd w:val="clear" w:color="auto" w:fill="auto"/>
            <w:noWrap/>
            <w:vAlign w:val="center"/>
          </w:tcPr>
          <w:p w14:paraId="0C3E5908" w14:textId="008075C7" w:rsidR="00DA54F3" w:rsidRPr="001B02FE" w:rsidRDefault="00DA54F3" w:rsidP="00A535DB">
            <w:pPr>
              <w:spacing w:after="0" w:line="240" w:lineRule="auto"/>
              <w:ind w:right="11"/>
              <w:jc w:val="right"/>
              <w:rPr>
                <w:rFonts w:eastAsia="Times New Roman" w:cstheme="minorHAnsi"/>
                <w:bCs/>
                <w:sz w:val="20"/>
                <w:szCs w:val="20"/>
                <w:lang w:eastAsia="en-GB"/>
              </w:rPr>
            </w:pPr>
            <w:r w:rsidRPr="001B02FE">
              <w:rPr>
                <w:rFonts w:eastAsia="Times New Roman" w:cstheme="minorHAnsi"/>
                <w:bCs/>
                <w:sz w:val="20"/>
                <w:szCs w:val="20"/>
                <w:lang w:eastAsia="en-GB"/>
              </w:rPr>
              <w:t>7,</w:t>
            </w:r>
            <w:r w:rsidR="00294C0A">
              <w:rPr>
                <w:rFonts w:eastAsia="Times New Roman" w:cstheme="minorHAnsi"/>
                <w:bCs/>
                <w:sz w:val="20"/>
                <w:szCs w:val="20"/>
                <w:lang w:eastAsia="en-GB"/>
              </w:rPr>
              <w:t>137</w:t>
            </w:r>
          </w:p>
        </w:tc>
      </w:tr>
    </w:tbl>
    <w:p w14:paraId="0C36E1CB" w14:textId="77777777" w:rsidR="00DA54F3" w:rsidRPr="001B02FE" w:rsidRDefault="00DA54F3" w:rsidP="00DA54F3">
      <w:pPr>
        <w:spacing w:after="0" w:line="240" w:lineRule="auto"/>
        <w:rPr>
          <w:rFonts w:eastAsia="Times New Roman" w:cstheme="minorHAnsi"/>
          <w:b/>
          <w:sz w:val="20"/>
          <w:szCs w:val="20"/>
        </w:rPr>
      </w:pPr>
    </w:p>
    <w:tbl>
      <w:tblPr>
        <w:tblW w:w="9716" w:type="dxa"/>
        <w:tblLayout w:type="fixed"/>
        <w:tblLook w:val="0000" w:firstRow="0" w:lastRow="0" w:firstColumn="0" w:lastColumn="0" w:noHBand="0" w:noVBand="0"/>
      </w:tblPr>
      <w:tblGrid>
        <w:gridCol w:w="5783"/>
        <w:gridCol w:w="704"/>
        <w:gridCol w:w="1701"/>
        <w:gridCol w:w="1528"/>
      </w:tblGrid>
      <w:tr w:rsidR="00DA54F3" w:rsidRPr="001B02FE" w14:paraId="7BF08643" w14:textId="77777777" w:rsidTr="00A535DB">
        <w:trPr>
          <w:cantSplit/>
          <w:trHeight w:val="283"/>
        </w:trPr>
        <w:tc>
          <w:tcPr>
            <w:tcW w:w="5783" w:type="dxa"/>
            <w:tcBorders>
              <w:top w:val="single" w:sz="4" w:space="0" w:color="auto"/>
              <w:bottom w:val="single" w:sz="12" w:space="0" w:color="auto"/>
            </w:tcBorders>
          </w:tcPr>
          <w:p w14:paraId="3080DA93" w14:textId="77777777" w:rsidR="00DA54F3" w:rsidRPr="001B02FE" w:rsidRDefault="00DA54F3" w:rsidP="00A535DB">
            <w:pPr>
              <w:spacing w:after="0" w:line="240" w:lineRule="auto"/>
              <w:jc w:val="both"/>
              <w:rPr>
                <w:rFonts w:eastAsia="Times New Roman" w:cstheme="minorHAnsi"/>
                <w:b/>
                <w:sz w:val="20"/>
                <w:szCs w:val="20"/>
              </w:rPr>
            </w:pPr>
            <w:r w:rsidRPr="001B02FE">
              <w:rPr>
                <w:rFonts w:eastAsia="Times New Roman" w:cstheme="minorHAnsi"/>
                <w:b/>
                <w:bCs/>
                <w:sz w:val="20"/>
                <w:szCs w:val="20"/>
                <w:lang w:eastAsia="en-GB"/>
              </w:rPr>
              <w:t>Total operating expenses</w:t>
            </w:r>
          </w:p>
        </w:tc>
        <w:tc>
          <w:tcPr>
            <w:tcW w:w="704" w:type="dxa"/>
            <w:tcBorders>
              <w:top w:val="single" w:sz="4" w:space="0" w:color="auto"/>
              <w:bottom w:val="single" w:sz="12" w:space="0" w:color="auto"/>
            </w:tcBorders>
          </w:tcPr>
          <w:p w14:paraId="5A4E0B39" w14:textId="77777777" w:rsidR="00DA54F3" w:rsidRPr="001B02FE" w:rsidRDefault="00DA54F3" w:rsidP="00A535DB">
            <w:pPr>
              <w:keepNext/>
              <w:tabs>
                <w:tab w:val="decimal" w:pos="1062"/>
              </w:tabs>
              <w:spacing w:after="0" w:line="240" w:lineRule="auto"/>
              <w:ind w:right="-160"/>
              <w:jc w:val="both"/>
              <w:outlineLvl w:val="0"/>
              <w:rPr>
                <w:rFonts w:eastAsia="Times New Roman" w:cstheme="minorHAnsi"/>
                <w:sz w:val="20"/>
                <w:szCs w:val="20"/>
              </w:rPr>
            </w:pPr>
          </w:p>
        </w:tc>
        <w:tc>
          <w:tcPr>
            <w:tcW w:w="1701" w:type="dxa"/>
            <w:tcBorders>
              <w:top w:val="single" w:sz="4" w:space="0" w:color="auto"/>
              <w:bottom w:val="single" w:sz="12" w:space="0" w:color="auto"/>
            </w:tcBorders>
            <w:vAlign w:val="center"/>
          </w:tcPr>
          <w:p w14:paraId="7F117108" w14:textId="77777777" w:rsidR="00DA54F3" w:rsidRPr="001B02FE" w:rsidRDefault="00DA54F3" w:rsidP="00A535DB">
            <w:pPr>
              <w:keepNext/>
              <w:spacing w:after="0" w:line="240" w:lineRule="auto"/>
              <w:jc w:val="right"/>
              <w:outlineLvl w:val="0"/>
              <w:rPr>
                <w:rFonts w:eastAsia="Times New Roman" w:cstheme="minorHAnsi"/>
                <w:b/>
                <w:sz w:val="20"/>
                <w:szCs w:val="20"/>
              </w:rPr>
            </w:pPr>
            <w:r w:rsidRPr="001B02FE">
              <w:rPr>
                <w:rFonts w:eastAsia="Times New Roman" w:cstheme="minorHAnsi"/>
                <w:b/>
                <w:sz w:val="20"/>
                <w:szCs w:val="20"/>
              </w:rPr>
              <w:t>27,252</w:t>
            </w:r>
          </w:p>
        </w:tc>
        <w:tc>
          <w:tcPr>
            <w:tcW w:w="1528" w:type="dxa"/>
            <w:tcBorders>
              <w:top w:val="single" w:sz="4" w:space="0" w:color="auto"/>
              <w:bottom w:val="single" w:sz="12" w:space="0" w:color="auto"/>
            </w:tcBorders>
            <w:vAlign w:val="center"/>
          </w:tcPr>
          <w:p w14:paraId="5B2A2C40" w14:textId="77777777" w:rsidR="00DA54F3" w:rsidRPr="001B02FE" w:rsidRDefault="00DA54F3" w:rsidP="00A535DB">
            <w:pPr>
              <w:keepNext/>
              <w:spacing w:after="0" w:line="240" w:lineRule="auto"/>
              <w:jc w:val="right"/>
              <w:outlineLvl w:val="0"/>
              <w:rPr>
                <w:rFonts w:eastAsia="Times New Roman" w:cstheme="minorHAnsi"/>
                <w:bCs/>
                <w:sz w:val="20"/>
                <w:szCs w:val="20"/>
              </w:rPr>
            </w:pPr>
            <w:r w:rsidRPr="001B02FE">
              <w:rPr>
                <w:rFonts w:eastAsia="Times New Roman" w:cstheme="minorHAnsi"/>
                <w:b/>
                <w:sz w:val="20"/>
                <w:szCs w:val="20"/>
              </w:rPr>
              <w:t>17,950</w:t>
            </w:r>
          </w:p>
        </w:tc>
      </w:tr>
    </w:tbl>
    <w:p w14:paraId="555BB193" w14:textId="77777777" w:rsidR="00DA54F3" w:rsidRPr="001B02FE" w:rsidRDefault="00DA54F3" w:rsidP="00DA54F3">
      <w:pPr>
        <w:spacing w:after="0" w:line="240" w:lineRule="auto"/>
        <w:rPr>
          <w:rFonts w:eastAsia="Times New Roman" w:cstheme="minorHAnsi"/>
          <w:b/>
          <w:sz w:val="20"/>
          <w:szCs w:val="20"/>
        </w:rPr>
      </w:pPr>
    </w:p>
    <w:p w14:paraId="39B82A59" w14:textId="5B32F828" w:rsidR="00DA54F3" w:rsidRPr="001B02FE" w:rsidRDefault="00DA54F3" w:rsidP="00DA54F3">
      <w:pPr>
        <w:keepNext/>
        <w:numPr>
          <w:ilvl w:val="0"/>
          <w:numId w:val="13"/>
        </w:numPr>
        <w:spacing w:after="0" w:line="240" w:lineRule="auto"/>
        <w:jc w:val="both"/>
        <w:rPr>
          <w:rFonts w:eastAsia="Times New Roman" w:cstheme="minorHAnsi"/>
          <w:sz w:val="20"/>
          <w:szCs w:val="20"/>
        </w:rPr>
      </w:pPr>
      <w:r w:rsidRPr="001B02FE">
        <w:rPr>
          <w:rFonts w:eastAsia="Times New Roman" w:cstheme="minorHAnsi"/>
          <w:sz w:val="20"/>
          <w:szCs w:val="20"/>
        </w:rPr>
        <w:t>Includes associated social security costs of £</w:t>
      </w:r>
      <w:r w:rsidR="00294C0A">
        <w:rPr>
          <w:rFonts w:eastAsia="Times New Roman" w:cstheme="minorHAnsi"/>
          <w:sz w:val="20"/>
          <w:szCs w:val="20"/>
        </w:rPr>
        <w:t>87</w:t>
      </w:r>
      <w:r w:rsidRPr="001B02FE">
        <w:rPr>
          <w:rFonts w:eastAsia="Times New Roman" w:cstheme="minorHAnsi"/>
          <w:sz w:val="20"/>
          <w:szCs w:val="20"/>
        </w:rPr>
        <w:t>,000 (31 December 2018 – £93,000) and consideration in respect of sponsorship services of £450,000 (31 December 2018 – £425,000).</w:t>
      </w:r>
    </w:p>
    <w:p w14:paraId="693D58EB" w14:textId="77777777" w:rsidR="00DA54F3" w:rsidRPr="001B02FE" w:rsidRDefault="00DA54F3" w:rsidP="00DA54F3">
      <w:pPr>
        <w:keepNext/>
        <w:numPr>
          <w:ilvl w:val="0"/>
          <w:numId w:val="13"/>
        </w:numPr>
        <w:spacing w:after="0" w:line="240" w:lineRule="auto"/>
        <w:jc w:val="both"/>
        <w:rPr>
          <w:rFonts w:eastAsia="Times New Roman" w:cstheme="minorHAnsi"/>
          <w:sz w:val="20"/>
          <w:szCs w:val="20"/>
        </w:rPr>
      </w:pPr>
      <w:r w:rsidRPr="001B02FE">
        <w:rPr>
          <w:rFonts w:eastAsia="Times New Roman" w:cstheme="minorHAnsi"/>
          <w:sz w:val="20"/>
          <w:szCs w:val="20"/>
        </w:rPr>
        <w:t xml:space="preserve">Integration costs of PhD Nutrition into the Group amounted to £637,000 (2018 £599,000) this relates mainly to restructuring and the powder production line installation. </w:t>
      </w:r>
    </w:p>
    <w:p w14:paraId="71891F3D" w14:textId="77777777" w:rsidR="00DA54F3" w:rsidRPr="001B02FE" w:rsidRDefault="00DA54F3" w:rsidP="00DA54F3">
      <w:pPr>
        <w:spacing w:after="0" w:line="240" w:lineRule="auto"/>
        <w:rPr>
          <w:rFonts w:eastAsia="Times New Roman" w:cstheme="minorHAnsi"/>
          <w:b/>
          <w:sz w:val="20"/>
          <w:szCs w:val="20"/>
        </w:rPr>
      </w:pPr>
    </w:p>
    <w:p w14:paraId="34804845" w14:textId="77777777" w:rsidR="00DA54F3" w:rsidRPr="001B02FE" w:rsidRDefault="00DA54F3" w:rsidP="00DA54F3">
      <w:pPr>
        <w:spacing w:after="0" w:line="240" w:lineRule="auto"/>
        <w:rPr>
          <w:rFonts w:eastAsia="Times New Roman" w:cstheme="minorHAnsi"/>
          <w:b/>
          <w:sz w:val="20"/>
          <w:szCs w:val="20"/>
        </w:rPr>
      </w:pPr>
    </w:p>
    <w:p w14:paraId="38614221" w14:textId="59C7FE91" w:rsidR="00DA54F3" w:rsidRPr="001B02FE" w:rsidRDefault="002606D7" w:rsidP="00DA54F3">
      <w:pPr>
        <w:keepNext/>
        <w:spacing w:after="0" w:line="240" w:lineRule="auto"/>
        <w:jc w:val="both"/>
        <w:rPr>
          <w:rFonts w:eastAsia="Times New Roman" w:cstheme="minorHAnsi"/>
          <w:b/>
          <w:sz w:val="20"/>
          <w:szCs w:val="20"/>
        </w:rPr>
      </w:pPr>
      <w:r w:rsidRPr="001B02FE">
        <w:rPr>
          <w:rFonts w:eastAsia="Times New Roman" w:cstheme="minorHAnsi"/>
          <w:b/>
          <w:sz w:val="20"/>
          <w:szCs w:val="20"/>
        </w:rPr>
        <w:t>5</w:t>
      </w:r>
      <w:r w:rsidR="00DA54F3" w:rsidRPr="001B02FE">
        <w:rPr>
          <w:rFonts w:eastAsia="Times New Roman" w:cstheme="minorHAnsi"/>
          <w:b/>
          <w:sz w:val="20"/>
          <w:szCs w:val="20"/>
        </w:rPr>
        <w:t>. Loss from operations</w:t>
      </w:r>
    </w:p>
    <w:tbl>
      <w:tblPr>
        <w:tblW w:w="9696" w:type="dxa"/>
        <w:tblInd w:w="56" w:type="dxa"/>
        <w:tblLayout w:type="fixed"/>
        <w:tblLook w:val="0000" w:firstRow="0" w:lastRow="0" w:firstColumn="0" w:lastColumn="0" w:noHBand="0" w:noVBand="0"/>
      </w:tblPr>
      <w:tblGrid>
        <w:gridCol w:w="6715"/>
        <w:gridCol w:w="1474"/>
        <w:gridCol w:w="1507"/>
      </w:tblGrid>
      <w:tr w:rsidR="00DA54F3" w:rsidRPr="001B02FE" w14:paraId="78BE27FE" w14:textId="77777777" w:rsidTr="00A535DB">
        <w:trPr>
          <w:cantSplit/>
        </w:trPr>
        <w:tc>
          <w:tcPr>
            <w:tcW w:w="6715" w:type="dxa"/>
          </w:tcPr>
          <w:p w14:paraId="0632B546" w14:textId="77777777" w:rsidR="00DA54F3" w:rsidRPr="001B02FE" w:rsidRDefault="00DA54F3" w:rsidP="00A535DB">
            <w:pPr>
              <w:spacing w:after="0" w:line="240" w:lineRule="auto"/>
              <w:jc w:val="both"/>
              <w:rPr>
                <w:rFonts w:eastAsia="Times New Roman" w:cstheme="minorHAnsi"/>
                <w:sz w:val="20"/>
                <w:szCs w:val="20"/>
              </w:rPr>
            </w:pPr>
          </w:p>
          <w:p w14:paraId="6260E444"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Loss from operations is stated after charging:</w:t>
            </w:r>
          </w:p>
        </w:tc>
        <w:tc>
          <w:tcPr>
            <w:tcW w:w="1474" w:type="dxa"/>
          </w:tcPr>
          <w:p w14:paraId="3A21FA7E" w14:textId="77777777" w:rsidR="00DA54F3" w:rsidRPr="001B02FE" w:rsidRDefault="00DA54F3" w:rsidP="00A535DB">
            <w:pPr>
              <w:keepNext/>
              <w:spacing w:after="0" w:line="240" w:lineRule="auto"/>
              <w:jc w:val="right"/>
              <w:rPr>
                <w:rFonts w:eastAsia="Times New Roman" w:cstheme="minorHAnsi"/>
                <w:b/>
                <w:sz w:val="20"/>
                <w:szCs w:val="20"/>
              </w:rPr>
            </w:pPr>
          </w:p>
          <w:p w14:paraId="44937BEE" w14:textId="77777777" w:rsidR="00DA54F3" w:rsidRPr="001B02FE" w:rsidRDefault="00DA54F3" w:rsidP="00A535DB">
            <w:pPr>
              <w:keepNext/>
              <w:spacing w:after="0" w:line="240" w:lineRule="auto"/>
              <w:jc w:val="right"/>
              <w:rPr>
                <w:rFonts w:eastAsia="Times New Roman" w:cstheme="minorHAnsi"/>
                <w:b/>
                <w:sz w:val="20"/>
                <w:szCs w:val="20"/>
              </w:rPr>
            </w:pPr>
            <w:r w:rsidRPr="001B02FE">
              <w:rPr>
                <w:rFonts w:eastAsia="Times New Roman" w:cstheme="minorHAnsi"/>
                <w:b/>
                <w:sz w:val="20"/>
                <w:szCs w:val="20"/>
              </w:rPr>
              <w:t>Year ended</w:t>
            </w:r>
          </w:p>
          <w:p w14:paraId="6906303A" w14:textId="77777777" w:rsidR="00DA54F3" w:rsidRPr="001B02FE" w:rsidRDefault="00DA54F3" w:rsidP="00A535DB">
            <w:pPr>
              <w:keepNext/>
              <w:spacing w:after="0" w:line="240" w:lineRule="auto"/>
              <w:jc w:val="right"/>
              <w:rPr>
                <w:rFonts w:eastAsia="Times New Roman" w:cstheme="minorHAnsi"/>
                <w:b/>
                <w:sz w:val="20"/>
                <w:szCs w:val="20"/>
              </w:rPr>
            </w:pPr>
            <w:r w:rsidRPr="001B02FE">
              <w:rPr>
                <w:rFonts w:eastAsia="Times New Roman" w:cstheme="minorHAnsi"/>
                <w:b/>
                <w:sz w:val="20"/>
                <w:szCs w:val="20"/>
              </w:rPr>
              <w:t xml:space="preserve">31 December </w:t>
            </w:r>
          </w:p>
          <w:p w14:paraId="2D7507F3" w14:textId="77777777" w:rsidR="00DA54F3" w:rsidRPr="001B02FE" w:rsidRDefault="00DA54F3" w:rsidP="00A535DB">
            <w:pPr>
              <w:keepNext/>
              <w:spacing w:after="0" w:line="240" w:lineRule="auto"/>
              <w:jc w:val="right"/>
              <w:rPr>
                <w:rFonts w:eastAsia="Times New Roman" w:cstheme="minorHAnsi"/>
                <w:b/>
                <w:sz w:val="20"/>
                <w:szCs w:val="20"/>
              </w:rPr>
            </w:pPr>
            <w:r w:rsidRPr="001B02FE">
              <w:rPr>
                <w:rFonts w:eastAsia="Times New Roman" w:cstheme="minorHAnsi"/>
                <w:b/>
                <w:sz w:val="20"/>
                <w:szCs w:val="20"/>
              </w:rPr>
              <w:t>2019</w:t>
            </w:r>
          </w:p>
        </w:tc>
        <w:tc>
          <w:tcPr>
            <w:tcW w:w="1507" w:type="dxa"/>
            <w:vAlign w:val="bottom"/>
          </w:tcPr>
          <w:p w14:paraId="7DBEB7CF" w14:textId="77777777" w:rsidR="00DA54F3" w:rsidRPr="001B02FE" w:rsidRDefault="00DA54F3" w:rsidP="00A535DB">
            <w:pPr>
              <w:keepNext/>
              <w:spacing w:after="0" w:line="240" w:lineRule="auto"/>
              <w:jc w:val="right"/>
              <w:rPr>
                <w:rFonts w:eastAsia="Times New Roman" w:cstheme="minorHAnsi"/>
                <w:sz w:val="20"/>
                <w:szCs w:val="20"/>
              </w:rPr>
            </w:pPr>
            <w:r w:rsidRPr="001B02FE">
              <w:rPr>
                <w:rFonts w:eastAsia="Times New Roman" w:cstheme="minorHAnsi"/>
                <w:sz w:val="20"/>
                <w:szCs w:val="20"/>
              </w:rPr>
              <w:t>Year ended</w:t>
            </w:r>
          </w:p>
          <w:p w14:paraId="189E8BCB" w14:textId="77777777" w:rsidR="00DA54F3" w:rsidRPr="001B02FE" w:rsidRDefault="00DA54F3" w:rsidP="00A535DB">
            <w:pPr>
              <w:keepNext/>
              <w:spacing w:after="0" w:line="240" w:lineRule="auto"/>
              <w:jc w:val="right"/>
              <w:rPr>
                <w:rFonts w:eastAsia="Times New Roman" w:cstheme="minorHAnsi"/>
                <w:sz w:val="20"/>
                <w:szCs w:val="20"/>
              </w:rPr>
            </w:pPr>
            <w:r w:rsidRPr="001B02FE">
              <w:rPr>
                <w:rFonts w:eastAsia="Times New Roman" w:cstheme="minorHAnsi"/>
                <w:sz w:val="20"/>
                <w:szCs w:val="20"/>
              </w:rPr>
              <w:t>31 December</w:t>
            </w:r>
          </w:p>
          <w:p w14:paraId="1565AD83" w14:textId="77777777" w:rsidR="00DA54F3" w:rsidRPr="001B02FE" w:rsidRDefault="00DA54F3" w:rsidP="00A535DB">
            <w:pPr>
              <w:keepNext/>
              <w:spacing w:after="0" w:line="240" w:lineRule="auto"/>
              <w:jc w:val="right"/>
              <w:rPr>
                <w:rFonts w:eastAsia="Times New Roman" w:cstheme="minorHAnsi"/>
                <w:b/>
                <w:sz w:val="20"/>
                <w:szCs w:val="20"/>
              </w:rPr>
            </w:pPr>
            <w:r w:rsidRPr="001B02FE">
              <w:rPr>
                <w:rFonts w:eastAsia="Times New Roman" w:cstheme="minorHAnsi"/>
                <w:sz w:val="20"/>
                <w:szCs w:val="20"/>
              </w:rPr>
              <w:t>2018</w:t>
            </w:r>
          </w:p>
        </w:tc>
      </w:tr>
      <w:tr w:rsidR="00DA54F3" w:rsidRPr="001B02FE" w14:paraId="70230693" w14:textId="77777777" w:rsidTr="00A535DB">
        <w:trPr>
          <w:cantSplit/>
        </w:trPr>
        <w:tc>
          <w:tcPr>
            <w:tcW w:w="6715" w:type="dxa"/>
            <w:tcBorders>
              <w:bottom w:val="single" w:sz="4" w:space="0" w:color="auto"/>
            </w:tcBorders>
          </w:tcPr>
          <w:p w14:paraId="32113E53" w14:textId="77777777" w:rsidR="00DA54F3" w:rsidRPr="001B02FE" w:rsidRDefault="00DA54F3" w:rsidP="00A535DB">
            <w:pPr>
              <w:spacing w:after="0" w:line="240" w:lineRule="auto"/>
              <w:jc w:val="both"/>
              <w:rPr>
                <w:rFonts w:eastAsia="Times New Roman" w:cstheme="minorHAnsi"/>
                <w:sz w:val="20"/>
                <w:szCs w:val="20"/>
              </w:rPr>
            </w:pPr>
          </w:p>
        </w:tc>
        <w:tc>
          <w:tcPr>
            <w:tcW w:w="1474" w:type="dxa"/>
            <w:tcBorders>
              <w:bottom w:val="single" w:sz="4" w:space="0" w:color="auto"/>
            </w:tcBorders>
          </w:tcPr>
          <w:p w14:paraId="5A90C427" w14:textId="77777777" w:rsidR="00DA54F3" w:rsidRPr="001B02FE" w:rsidRDefault="00DA54F3" w:rsidP="00A535DB">
            <w:pPr>
              <w:keepNext/>
              <w:spacing w:after="0" w:line="240" w:lineRule="auto"/>
              <w:jc w:val="right"/>
              <w:outlineLvl w:val="0"/>
              <w:rPr>
                <w:rFonts w:eastAsia="Times New Roman" w:cstheme="minorHAnsi"/>
                <w:b/>
                <w:sz w:val="20"/>
                <w:szCs w:val="20"/>
              </w:rPr>
            </w:pPr>
            <w:r w:rsidRPr="001B02FE">
              <w:rPr>
                <w:rFonts w:eastAsia="Times New Roman" w:cstheme="minorHAnsi"/>
                <w:b/>
                <w:sz w:val="20"/>
                <w:szCs w:val="20"/>
              </w:rPr>
              <w:t>£’000</w:t>
            </w:r>
          </w:p>
        </w:tc>
        <w:tc>
          <w:tcPr>
            <w:tcW w:w="1507" w:type="dxa"/>
            <w:tcBorders>
              <w:bottom w:val="single" w:sz="4" w:space="0" w:color="auto"/>
            </w:tcBorders>
          </w:tcPr>
          <w:p w14:paraId="7EC1E960" w14:textId="77777777" w:rsidR="00DA54F3" w:rsidRPr="001B02FE" w:rsidRDefault="00DA54F3" w:rsidP="00A535DB">
            <w:pPr>
              <w:keepNext/>
              <w:spacing w:after="0" w:line="240" w:lineRule="auto"/>
              <w:jc w:val="right"/>
              <w:outlineLvl w:val="0"/>
              <w:rPr>
                <w:rFonts w:eastAsia="Times New Roman" w:cstheme="minorHAnsi"/>
                <w:sz w:val="20"/>
                <w:szCs w:val="20"/>
              </w:rPr>
            </w:pPr>
            <w:r w:rsidRPr="001B02FE">
              <w:rPr>
                <w:rFonts w:eastAsia="Times New Roman" w:cstheme="minorHAnsi"/>
                <w:sz w:val="20"/>
                <w:szCs w:val="20"/>
              </w:rPr>
              <w:t>£’000</w:t>
            </w:r>
          </w:p>
        </w:tc>
      </w:tr>
      <w:tr w:rsidR="00DA54F3" w:rsidRPr="001B02FE" w14:paraId="1EAFD9BE" w14:textId="77777777" w:rsidTr="00A535DB">
        <w:trPr>
          <w:cantSplit/>
        </w:trPr>
        <w:tc>
          <w:tcPr>
            <w:tcW w:w="6715" w:type="dxa"/>
            <w:tcBorders>
              <w:top w:val="single" w:sz="4" w:space="0" w:color="auto"/>
            </w:tcBorders>
          </w:tcPr>
          <w:p w14:paraId="0AC03B9A" w14:textId="77777777" w:rsidR="00DA54F3" w:rsidRPr="001B02FE" w:rsidRDefault="00DA54F3" w:rsidP="00A535DB">
            <w:pPr>
              <w:spacing w:after="0" w:line="240" w:lineRule="auto"/>
              <w:jc w:val="both"/>
              <w:rPr>
                <w:rFonts w:eastAsia="Times New Roman" w:cstheme="minorHAnsi"/>
                <w:b/>
                <w:sz w:val="20"/>
                <w:szCs w:val="20"/>
                <w:lang w:val="en-US"/>
              </w:rPr>
            </w:pPr>
          </w:p>
        </w:tc>
        <w:tc>
          <w:tcPr>
            <w:tcW w:w="1474" w:type="dxa"/>
            <w:tcBorders>
              <w:top w:val="single" w:sz="4" w:space="0" w:color="auto"/>
            </w:tcBorders>
          </w:tcPr>
          <w:p w14:paraId="0BBB42B6" w14:textId="77777777" w:rsidR="00DA54F3" w:rsidRPr="001B02FE" w:rsidRDefault="00DA54F3" w:rsidP="00A535DB">
            <w:pPr>
              <w:keepNext/>
              <w:spacing w:after="0" w:line="240" w:lineRule="auto"/>
              <w:jc w:val="right"/>
              <w:outlineLvl w:val="0"/>
              <w:rPr>
                <w:rFonts w:eastAsia="Times New Roman" w:cstheme="minorHAnsi"/>
                <w:b/>
                <w:sz w:val="20"/>
                <w:szCs w:val="20"/>
              </w:rPr>
            </w:pPr>
          </w:p>
        </w:tc>
        <w:tc>
          <w:tcPr>
            <w:tcW w:w="1507" w:type="dxa"/>
            <w:tcBorders>
              <w:top w:val="single" w:sz="4" w:space="0" w:color="auto"/>
            </w:tcBorders>
          </w:tcPr>
          <w:p w14:paraId="29FB09B3" w14:textId="77777777" w:rsidR="00DA54F3" w:rsidRPr="001B02FE" w:rsidRDefault="00DA54F3" w:rsidP="00A535DB">
            <w:pPr>
              <w:keepNext/>
              <w:spacing w:after="0" w:line="240" w:lineRule="auto"/>
              <w:jc w:val="right"/>
              <w:outlineLvl w:val="0"/>
              <w:rPr>
                <w:rFonts w:eastAsia="Times New Roman" w:cstheme="minorHAnsi"/>
                <w:sz w:val="20"/>
                <w:szCs w:val="20"/>
              </w:rPr>
            </w:pPr>
          </w:p>
        </w:tc>
      </w:tr>
      <w:tr w:rsidR="00DA54F3" w:rsidRPr="001B02FE" w14:paraId="1CBA3220" w14:textId="77777777" w:rsidTr="00A535DB">
        <w:trPr>
          <w:cantSplit/>
        </w:trPr>
        <w:tc>
          <w:tcPr>
            <w:tcW w:w="6715" w:type="dxa"/>
          </w:tcPr>
          <w:p w14:paraId="5B410CF6" w14:textId="77777777" w:rsidR="00DA54F3" w:rsidRPr="001B02FE" w:rsidRDefault="00DA54F3" w:rsidP="00A535DB">
            <w:pPr>
              <w:spacing w:after="0" w:line="240" w:lineRule="auto"/>
              <w:jc w:val="both"/>
              <w:rPr>
                <w:rFonts w:eastAsia="Times New Roman" w:cstheme="minorHAnsi"/>
                <w:sz w:val="20"/>
                <w:szCs w:val="20"/>
                <w:lang w:val="en-US"/>
              </w:rPr>
            </w:pPr>
            <w:r w:rsidRPr="001B02FE">
              <w:rPr>
                <w:rFonts w:eastAsia="Times New Roman" w:cstheme="minorHAnsi"/>
                <w:sz w:val="20"/>
                <w:szCs w:val="20"/>
              </w:rPr>
              <w:t>Amortisation of intangible assets</w:t>
            </w:r>
          </w:p>
        </w:tc>
        <w:tc>
          <w:tcPr>
            <w:tcW w:w="1474" w:type="dxa"/>
          </w:tcPr>
          <w:p w14:paraId="699B2962"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2,129</w:t>
            </w:r>
          </w:p>
        </w:tc>
        <w:tc>
          <w:tcPr>
            <w:tcW w:w="1507" w:type="dxa"/>
          </w:tcPr>
          <w:p w14:paraId="008F83A6"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Cs/>
                <w:sz w:val="20"/>
                <w:szCs w:val="20"/>
              </w:rPr>
            </w:pPr>
            <w:r w:rsidRPr="001B02FE">
              <w:rPr>
                <w:rFonts w:eastAsia="Times New Roman" w:cstheme="minorHAnsi"/>
                <w:bCs/>
                <w:sz w:val="20"/>
                <w:szCs w:val="20"/>
              </w:rPr>
              <w:t>555</w:t>
            </w:r>
          </w:p>
        </w:tc>
      </w:tr>
      <w:tr w:rsidR="00DA54F3" w:rsidRPr="001B02FE" w14:paraId="2152A452" w14:textId="77777777" w:rsidTr="00A535DB">
        <w:trPr>
          <w:cantSplit/>
        </w:trPr>
        <w:tc>
          <w:tcPr>
            <w:tcW w:w="6715" w:type="dxa"/>
          </w:tcPr>
          <w:p w14:paraId="2E21BFA8"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Amortisation of right-of-use assets</w:t>
            </w:r>
          </w:p>
        </w:tc>
        <w:tc>
          <w:tcPr>
            <w:tcW w:w="1474" w:type="dxa"/>
          </w:tcPr>
          <w:p w14:paraId="5FC260B1"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156</w:t>
            </w:r>
          </w:p>
        </w:tc>
        <w:tc>
          <w:tcPr>
            <w:tcW w:w="1507" w:type="dxa"/>
          </w:tcPr>
          <w:p w14:paraId="3F044187"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Cs/>
                <w:sz w:val="20"/>
                <w:szCs w:val="20"/>
              </w:rPr>
            </w:pPr>
            <w:r w:rsidRPr="001B02FE">
              <w:rPr>
                <w:rFonts w:eastAsia="Times New Roman" w:cstheme="minorHAnsi"/>
                <w:bCs/>
                <w:sz w:val="20"/>
                <w:szCs w:val="20"/>
              </w:rPr>
              <w:t>-</w:t>
            </w:r>
          </w:p>
        </w:tc>
      </w:tr>
      <w:tr w:rsidR="00DA54F3" w:rsidRPr="001B02FE" w14:paraId="47F1306B" w14:textId="77777777" w:rsidTr="00A535DB">
        <w:trPr>
          <w:cantSplit/>
        </w:trPr>
        <w:tc>
          <w:tcPr>
            <w:tcW w:w="6715" w:type="dxa"/>
          </w:tcPr>
          <w:p w14:paraId="7A76B42E"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Depreciation of property, plant and equipment</w:t>
            </w:r>
          </w:p>
        </w:tc>
        <w:tc>
          <w:tcPr>
            <w:tcW w:w="1474" w:type="dxa"/>
          </w:tcPr>
          <w:p w14:paraId="36EB331C"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489</w:t>
            </w:r>
          </w:p>
        </w:tc>
        <w:tc>
          <w:tcPr>
            <w:tcW w:w="1507" w:type="dxa"/>
          </w:tcPr>
          <w:p w14:paraId="7814904F"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Cs/>
                <w:sz w:val="20"/>
                <w:szCs w:val="20"/>
              </w:rPr>
            </w:pPr>
            <w:r w:rsidRPr="001B02FE">
              <w:rPr>
                <w:rFonts w:eastAsia="Times New Roman" w:cstheme="minorHAnsi"/>
                <w:bCs/>
                <w:sz w:val="20"/>
                <w:szCs w:val="20"/>
              </w:rPr>
              <w:t>371</w:t>
            </w:r>
          </w:p>
        </w:tc>
      </w:tr>
      <w:tr w:rsidR="00DA54F3" w:rsidRPr="001B02FE" w14:paraId="2B9F7A8F" w14:textId="77777777" w:rsidTr="00A535DB">
        <w:trPr>
          <w:cantSplit/>
        </w:trPr>
        <w:tc>
          <w:tcPr>
            <w:tcW w:w="6715" w:type="dxa"/>
          </w:tcPr>
          <w:p w14:paraId="0ADB4D52" w14:textId="77777777" w:rsidR="00DA54F3" w:rsidRPr="001B02FE" w:rsidRDefault="00DA54F3" w:rsidP="00A535DB">
            <w:pPr>
              <w:spacing w:after="0" w:line="240" w:lineRule="auto"/>
              <w:jc w:val="both"/>
              <w:rPr>
                <w:rFonts w:eastAsia="Times New Roman" w:cstheme="minorHAnsi"/>
                <w:sz w:val="20"/>
                <w:szCs w:val="20"/>
                <w:lang w:val="en-US"/>
              </w:rPr>
            </w:pPr>
            <w:r w:rsidRPr="001B02FE">
              <w:rPr>
                <w:rFonts w:eastAsia="Times New Roman" w:cstheme="minorHAnsi"/>
                <w:sz w:val="20"/>
                <w:szCs w:val="20"/>
              </w:rPr>
              <w:t>Research and development costs</w:t>
            </w:r>
          </w:p>
        </w:tc>
        <w:tc>
          <w:tcPr>
            <w:tcW w:w="1474" w:type="dxa"/>
            <w:shd w:val="clear" w:color="auto" w:fill="auto"/>
          </w:tcPr>
          <w:p w14:paraId="1A31EB1A" w14:textId="77777777" w:rsidR="00DA54F3" w:rsidRPr="001B02FE" w:rsidRDefault="00DA54F3" w:rsidP="00A535DB">
            <w:pPr>
              <w:keepNext/>
              <w:tabs>
                <w:tab w:val="decimal" w:pos="1202"/>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232</w:t>
            </w:r>
          </w:p>
        </w:tc>
        <w:tc>
          <w:tcPr>
            <w:tcW w:w="1507" w:type="dxa"/>
          </w:tcPr>
          <w:p w14:paraId="081513A6" w14:textId="77777777" w:rsidR="00DA54F3" w:rsidRPr="001B02FE" w:rsidRDefault="00DA54F3" w:rsidP="00A535DB">
            <w:pPr>
              <w:keepNext/>
              <w:tabs>
                <w:tab w:val="decimal" w:pos="1202"/>
              </w:tabs>
              <w:spacing w:after="0" w:line="240" w:lineRule="auto"/>
              <w:ind w:right="-160"/>
              <w:jc w:val="both"/>
              <w:outlineLvl w:val="0"/>
              <w:rPr>
                <w:rFonts w:eastAsia="Times New Roman" w:cstheme="minorHAnsi"/>
                <w:bCs/>
                <w:sz w:val="20"/>
                <w:szCs w:val="20"/>
              </w:rPr>
            </w:pPr>
            <w:r w:rsidRPr="001B02FE">
              <w:rPr>
                <w:rFonts w:eastAsia="Times New Roman" w:cstheme="minorHAnsi"/>
                <w:bCs/>
                <w:sz w:val="20"/>
                <w:szCs w:val="20"/>
              </w:rPr>
              <w:t>320</w:t>
            </w:r>
          </w:p>
        </w:tc>
      </w:tr>
      <w:tr w:rsidR="00DA54F3" w:rsidRPr="001B02FE" w14:paraId="510B7DDF" w14:textId="77777777" w:rsidTr="00A535DB">
        <w:trPr>
          <w:cantSplit/>
        </w:trPr>
        <w:tc>
          <w:tcPr>
            <w:tcW w:w="6715" w:type="dxa"/>
          </w:tcPr>
          <w:p w14:paraId="202D7CB8"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Grant income in respect of research and development tax credits</w:t>
            </w:r>
          </w:p>
        </w:tc>
        <w:tc>
          <w:tcPr>
            <w:tcW w:w="1474" w:type="dxa"/>
            <w:shd w:val="clear" w:color="auto" w:fill="auto"/>
          </w:tcPr>
          <w:p w14:paraId="0C165E3D"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(215)</w:t>
            </w:r>
          </w:p>
        </w:tc>
        <w:tc>
          <w:tcPr>
            <w:tcW w:w="1507" w:type="dxa"/>
          </w:tcPr>
          <w:p w14:paraId="5129F0E6"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Cs/>
                <w:sz w:val="20"/>
                <w:szCs w:val="20"/>
              </w:rPr>
            </w:pPr>
            <w:r w:rsidRPr="001B02FE">
              <w:rPr>
                <w:rFonts w:eastAsia="Times New Roman" w:cstheme="minorHAnsi"/>
                <w:bCs/>
                <w:sz w:val="20"/>
                <w:szCs w:val="20"/>
              </w:rPr>
              <w:t>(60)</w:t>
            </w:r>
          </w:p>
        </w:tc>
      </w:tr>
      <w:tr w:rsidR="00DA54F3" w:rsidRPr="001B02FE" w14:paraId="0B610AD1" w14:textId="77777777" w:rsidTr="00A535DB">
        <w:trPr>
          <w:cantSplit/>
        </w:trPr>
        <w:tc>
          <w:tcPr>
            <w:tcW w:w="6715" w:type="dxa"/>
          </w:tcPr>
          <w:p w14:paraId="40E8B771"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A&amp;P/Marketing costs</w:t>
            </w:r>
          </w:p>
        </w:tc>
        <w:tc>
          <w:tcPr>
            <w:tcW w:w="1474" w:type="dxa"/>
            <w:shd w:val="clear" w:color="auto" w:fill="auto"/>
          </w:tcPr>
          <w:p w14:paraId="3AD24550"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7,939</w:t>
            </w:r>
          </w:p>
        </w:tc>
        <w:tc>
          <w:tcPr>
            <w:tcW w:w="1507" w:type="dxa"/>
          </w:tcPr>
          <w:p w14:paraId="2FB9F10B"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Cs/>
                <w:sz w:val="20"/>
                <w:szCs w:val="20"/>
              </w:rPr>
            </w:pPr>
            <w:r w:rsidRPr="001B02FE">
              <w:rPr>
                <w:rFonts w:eastAsia="Times New Roman" w:cstheme="minorHAnsi"/>
                <w:bCs/>
                <w:sz w:val="20"/>
                <w:szCs w:val="20"/>
              </w:rPr>
              <w:t>5,481</w:t>
            </w:r>
          </w:p>
        </w:tc>
      </w:tr>
      <w:tr w:rsidR="00DA54F3" w:rsidRPr="001B02FE" w14:paraId="59832C72" w14:textId="77777777" w:rsidTr="00A535DB">
        <w:trPr>
          <w:cantSplit/>
        </w:trPr>
        <w:tc>
          <w:tcPr>
            <w:tcW w:w="6715" w:type="dxa"/>
            <w:vAlign w:val="bottom"/>
          </w:tcPr>
          <w:p w14:paraId="24E8A2E8" w14:textId="77777777" w:rsidR="00DA54F3" w:rsidRPr="001B02FE" w:rsidRDefault="00DA54F3" w:rsidP="00A535DB">
            <w:pPr>
              <w:spacing w:after="0" w:line="240" w:lineRule="auto"/>
              <w:jc w:val="both"/>
              <w:rPr>
                <w:rFonts w:eastAsia="Times New Roman" w:cstheme="minorHAnsi"/>
                <w:sz w:val="20"/>
                <w:szCs w:val="20"/>
                <w:lang w:val="en-US"/>
              </w:rPr>
            </w:pPr>
            <w:bookmarkStart w:id="1" w:name="_Hlk35284347"/>
            <w:r w:rsidRPr="001B02FE">
              <w:rPr>
                <w:rFonts w:eastAsia="Times New Roman" w:cstheme="minorHAnsi"/>
                <w:color w:val="000000"/>
                <w:sz w:val="20"/>
                <w:szCs w:val="20"/>
                <w:lang w:eastAsia="en-GB"/>
              </w:rPr>
              <w:t xml:space="preserve">Foreign exchange variances on intercompany balances </w:t>
            </w:r>
          </w:p>
        </w:tc>
        <w:tc>
          <w:tcPr>
            <w:tcW w:w="1474" w:type="dxa"/>
            <w:shd w:val="clear" w:color="auto" w:fill="auto"/>
            <w:vAlign w:val="bottom"/>
          </w:tcPr>
          <w:p w14:paraId="0BBE73DA"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
                <w:sz w:val="20"/>
                <w:szCs w:val="20"/>
              </w:rPr>
            </w:pPr>
            <w:r w:rsidRPr="001B02FE">
              <w:rPr>
                <w:rFonts w:eastAsia="Times New Roman" w:cstheme="minorHAnsi"/>
                <w:b/>
                <w:bCs/>
                <w:color w:val="000000"/>
                <w:sz w:val="20"/>
                <w:szCs w:val="20"/>
                <w:lang w:eastAsia="en-GB"/>
              </w:rPr>
              <w:t>297</w:t>
            </w:r>
          </w:p>
        </w:tc>
        <w:tc>
          <w:tcPr>
            <w:tcW w:w="1507" w:type="dxa"/>
          </w:tcPr>
          <w:p w14:paraId="246F364F"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Cs/>
                <w:sz w:val="20"/>
                <w:szCs w:val="20"/>
              </w:rPr>
            </w:pPr>
            <w:r w:rsidRPr="001B02FE">
              <w:rPr>
                <w:rFonts w:eastAsia="Times New Roman" w:cstheme="minorHAnsi"/>
                <w:bCs/>
                <w:sz w:val="20"/>
                <w:szCs w:val="20"/>
              </w:rPr>
              <w:t>(161)</w:t>
            </w:r>
          </w:p>
        </w:tc>
      </w:tr>
      <w:tr w:rsidR="00DA54F3" w:rsidRPr="001B02FE" w14:paraId="47822A78" w14:textId="77777777" w:rsidTr="00A535DB">
        <w:trPr>
          <w:cantSplit/>
        </w:trPr>
        <w:tc>
          <w:tcPr>
            <w:tcW w:w="6715" w:type="dxa"/>
            <w:tcBorders>
              <w:bottom w:val="single" w:sz="4" w:space="0" w:color="auto"/>
            </w:tcBorders>
          </w:tcPr>
          <w:p w14:paraId="184CF0A7" w14:textId="77777777" w:rsidR="00DA54F3" w:rsidRPr="001B02FE" w:rsidRDefault="00DA54F3" w:rsidP="00A535DB">
            <w:pPr>
              <w:spacing w:after="0" w:line="240" w:lineRule="auto"/>
              <w:jc w:val="both"/>
              <w:rPr>
                <w:rFonts w:eastAsia="Times New Roman" w:cstheme="minorHAnsi"/>
                <w:sz w:val="20"/>
                <w:szCs w:val="20"/>
                <w:lang w:val="en-US"/>
              </w:rPr>
            </w:pPr>
          </w:p>
        </w:tc>
        <w:tc>
          <w:tcPr>
            <w:tcW w:w="1474" w:type="dxa"/>
            <w:tcBorders>
              <w:bottom w:val="single" w:sz="4" w:space="0" w:color="auto"/>
            </w:tcBorders>
            <w:shd w:val="clear" w:color="auto" w:fill="auto"/>
          </w:tcPr>
          <w:p w14:paraId="5AB8E4F9"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
                <w:sz w:val="20"/>
                <w:szCs w:val="20"/>
              </w:rPr>
            </w:pPr>
          </w:p>
        </w:tc>
        <w:tc>
          <w:tcPr>
            <w:tcW w:w="1507" w:type="dxa"/>
            <w:tcBorders>
              <w:bottom w:val="single" w:sz="4" w:space="0" w:color="auto"/>
            </w:tcBorders>
          </w:tcPr>
          <w:p w14:paraId="0235080A" w14:textId="77777777" w:rsidR="00DA54F3" w:rsidRPr="001B02FE" w:rsidRDefault="00DA54F3" w:rsidP="00A535DB">
            <w:pPr>
              <w:keepNext/>
              <w:tabs>
                <w:tab w:val="decimal" w:pos="1201"/>
              </w:tabs>
              <w:spacing w:after="0" w:line="240" w:lineRule="auto"/>
              <w:ind w:right="-160"/>
              <w:jc w:val="both"/>
              <w:outlineLvl w:val="0"/>
              <w:rPr>
                <w:rFonts w:eastAsia="Times New Roman" w:cstheme="minorHAnsi"/>
                <w:bCs/>
                <w:sz w:val="20"/>
                <w:szCs w:val="20"/>
              </w:rPr>
            </w:pPr>
          </w:p>
        </w:tc>
      </w:tr>
    </w:tbl>
    <w:p w14:paraId="67A41855" w14:textId="77777777" w:rsidR="00DA54F3" w:rsidRPr="001B02FE" w:rsidRDefault="00DA54F3" w:rsidP="00DA54F3">
      <w:pPr>
        <w:keepNext/>
        <w:spacing w:after="0" w:line="240" w:lineRule="auto"/>
        <w:jc w:val="both"/>
        <w:rPr>
          <w:rFonts w:eastAsia="Times New Roman" w:cstheme="minorHAnsi"/>
          <w:i/>
          <w:sz w:val="20"/>
          <w:szCs w:val="20"/>
        </w:rPr>
      </w:pPr>
      <w:bookmarkStart w:id="2" w:name="_Hlk31458738"/>
      <w:bookmarkEnd w:id="1"/>
    </w:p>
    <w:bookmarkEnd w:id="2"/>
    <w:p w14:paraId="1B7AE496" w14:textId="0FF71290" w:rsidR="00DA54F3" w:rsidRDefault="00DA54F3" w:rsidP="00FA6A73">
      <w:pPr>
        <w:spacing w:after="0" w:line="240" w:lineRule="auto"/>
        <w:jc w:val="both"/>
        <w:rPr>
          <w:rFonts w:eastAsia="Times New Roman" w:cstheme="minorHAnsi"/>
          <w:b/>
          <w:sz w:val="20"/>
          <w:szCs w:val="20"/>
        </w:rPr>
      </w:pPr>
    </w:p>
    <w:p w14:paraId="148FCDD2" w14:textId="4B9389CC" w:rsidR="001B02FE" w:rsidRDefault="001B02FE" w:rsidP="00FA6A73">
      <w:pPr>
        <w:spacing w:after="0" w:line="240" w:lineRule="auto"/>
        <w:jc w:val="both"/>
        <w:rPr>
          <w:rFonts w:eastAsia="Times New Roman" w:cstheme="minorHAnsi"/>
          <w:b/>
          <w:sz w:val="20"/>
          <w:szCs w:val="20"/>
        </w:rPr>
      </w:pPr>
    </w:p>
    <w:p w14:paraId="761A440D" w14:textId="77777777" w:rsidR="001B02FE" w:rsidRPr="001B02FE" w:rsidRDefault="001B02FE" w:rsidP="00FA6A73">
      <w:pPr>
        <w:spacing w:after="0" w:line="240" w:lineRule="auto"/>
        <w:jc w:val="both"/>
        <w:rPr>
          <w:rFonts w:eastAsia="Times New Roman" w:cstheme="minorHAnsi"/>
          <w:b/>
          <w:sz w:val="20"/>
          <w:szCs w:val="20"/>
        </w:rPr>
      </w:pPr>
    </w:p>
    <w:p w14:paraId="54A001F8" w14:textId="60F18898" w:rsidR="00DA54F3" w:rsidRPr="001B02FE" w:rsidRDefault="002606D7" w:rsidP="00DA54F3">
      <w:pPr>
        <w:spacing w:after="0" w:line="240" w:lineRule="auto"/>
        <w:jc w:val="both"/>
        <w:rPr>
          <w:rFonts w:eastAsia="Times New Roman" w:cstheme="minorHAnsi"/>
          <w:b/>
          <w:sz w:val="20"/>
          <w:szCs w:val="20"/>
        </w:rPr>
      </w:pPr>
      <w:r w:rsidRPr="001B02FE">
        <w:rPr>
          <w:rFonts w:eastAsia="Times New Roman" w:cstheme="minorHAnsi"/>
          <w:b/>
          <w:sz w:val="20"/>
          <w:szCs w:val="20"/>
        </w:rPr>
        <w:t>6</w:t>
      </w:r>
      <w:r w:rsidR="00DA54F3" w:rsidRPr="001B02FE">
        <w:rPr>
          <w:rFonts w:eastAsia="Times New Roman" w:cstheme="minorHAnsi"/>
          <w:b/>
          <w:sz w:val="20"/>
          <w:szCs w:val="20"/>
        </w:rPr>
        <w:t>. Taxation</w:t>
      </w:r>
    </w:p>
    <w:tbl>
      <w:tblPr>
        <w:tblW w:w="9695" w:type="dxa"/>
        <w:tblLayout w:type="fixed"/>
        <w:tblLook w:val="0000" w:firstRow="0" w:lastRow="0" w:firstColumn="0" w:lastColumn="0" w:noHBand="0" w:noVBand="0"/>
      </w:tblPr>
      <w:tblGrid>
        <w:gridCol w:w="6536"/>
        <w:gridCol w:w="1620"/>
        <w:gridCol w:w="1539"/>
      </w:tblGrid>
      <w:tr w:rsidR="00DA54F3" w:rsidRPr="001B02FE" w14:paraId="6762818E" w14:textId="77777777" w:rsidTr="00A535DB">
        <w:trPr>
          <w:cantSplit/>
        </w:trPr>
        <w:tc>
          <w:tcPr>
            <w:tcW w:w="6536" w:type="dxa"/>
          </w:tcPr>
          <w:p w14:paraId="197858C5" w14:textId="77777777" w:rsidR="00DA54F3" w:rsidRPr="001B02FE" w:rsidRDefault="00DA54F3" w:rsidP="00A535DB">
            <w:pPr>
              <w:spacing w:after="0" w:line="240" w:lineRule="auto"/>
              <w:jc w:val="both"/>
              <w:rPr>
                <w:rFonts w:eastAsia="Times New Roman" w:cstheme="minorHAnsi"/>
                <w:b/>
                <w:sz w:val="20"/>
                <w:szCs w:val="20"/>
              </w:rPr>
            </w:pPr>
          </w:p>
          <w:p w14:paraId="38F23098" w14:textId="77777777" w:rsidR="00DA54F3" w:rsidRPr="001B02FE" w:rsidRDefault="00DA54F3" w:rsidP="00A535DB">
            <w:pPr>
              <w:spacing w:after="0" w:line="240" w:lineRule="auto"/>
              <w:jc w:val="both"/>
              <w:rPr>
                <w:rFonts w:eastAsia="Times New Roman" w:cstheme="minorHAnsi"/>
                <w:b/>
                <w:sz w:val="20"/>
                <w:szCs w:val="20"/>
              </w:rPr>
            </w:pPr>
          </w:p>
          <w:p w14:paraId="3E3F0572" w14:textId="77777777" w:rsidR="00DA54F3" w:rsidRPr="001B02FE" w:rsidRDefault="00DA54F3" w:rsidP="00A535DB">
            <w:pPr>
              <w:spacing w:after="0" w:line="240" w:lineRule="auto"/>
              <w:jc w:val="both"/>
              <w:rPr>
                <w:rFonts w:eastAsia="Times New Roman" w:cstheme="minorHAnsi"/>
                <w:b/>
                <w:sz w:val="20"/>
                <w:szCs w:val="20"/>
              </w:rPr>
            </w:pPr>
          </w:p>
        </w:tc>
        <w:tc>
          <w:tcPr>
            <w:tcW w:w="1620" w:type="dxa"/>
          </w:tcPr>
          <w:p w14:paraId="12C0B22B" w14:textId="77777777" w:rsidR="00DA54F3" w:rsidRPr="001B02FE" w:rsidRDefault="00DA54F3" w:rsidP="00A535DB">
            <w:pPr>
              <w:keepNext/>
              <w:spacing w:after="0" w:line="240" w:lineRule="auto"/>
              <w:jc w:val="right"/>
              <w:rPr>
                <w:rFonts w:eastAsia="Times New Roman" w:cstheme="minorHAnsi"/>
                <w:b/>
                <w:sz w:val="20"/>
                <w:szCs w:val="20"/>
              </w:rPr>
            </w:pPr>
          </w:p>
          <w:p w14:paraId="057FE79A" w14:textId="77777777" w:rsidR="00DA54F3" w:rsidRPr="001B02FE" w:rsidRDefault="00DA54F3" w:rsidP="00A535DB">
            <w:pPr>
              <w:keepNext/>
              <w:spacing w:after="0" w:line="240" w:lineRule="auto"/>
              <w:jc w:val="right"/>
              <w:rPr>
                <w:rFonts w:eastAsia="Times New Roman" w:cstheme="minorHAnsi"/>
                <w:b/>
                <w:sz w:val="20"/>
                <w:szCs w:val="20"/>
              </w:rPr>
            </w:pPr>
            <w:r w:rsidRPr="001B02FE">
              <w:rPr>
                <w:rFonts w:eastAsia="Times New Roman" w:cstheme="minorHAnsi"/>
                <w:b/>
                <w:sz w:val="20"/>
                <w:szCs w:val="20"/>
              </w:rPr>
              <w:t>Year ended</w:t>
            </w:r>
          </w:p>
          <w:p w14:paraId="16E4B978" w14:textId="77777777" w:rsidR="00DA54F3" w:rsidRPr="001B02FE" w:rsidRDefault="00DA54F3" w:rsidP="00A535DB">
            <w:pPr>
              <w:keepNext/>
              <w:tabs>
                <w:tab w:val="decimal" w:pos="1202"/>
              </w:tabs>
              <w:spacing w:after="0" w:line="240" w:lineRule="auto"/>
              <w:jc w:val="right"/>
              <w:outlineLvl w:val="0"/>
              <w:rPr>
                <w:rFonts w:eastAsia="Times New Roman" w:cstheme="minorHAnsi"/>
                <w:b/>
                <w:sz w:val="20"/>
                <w:szCs w:val="20"/>
              </w:rPr>
            </w:pPr>
            <w:r w:rsidRPr="001B02FE">
              <w:rPr>
                <w:rFonts w:eastAsia="Times New Roman" w:cstheme="minorHAnsi"/>
                <w:b/>
                <w:sz w:val="20"/>
                <w:szCs w:val="20"/>
              </w:rPr>
              <w:t>31 December 2019</w:t>
            </w:r>
          </w:p>
        </w:tc>
        <w:tc>
          <w:tcPr>
            <w:tcW w:w="1539" w:type="dxa"/>
            <w:vAlign w:val="bottom"/>
          </w:tcPr>
          <w:p w14:paraId="5FABDEBF" w14:textId="77777777" w:rsidR="00DA54F3" w:rsidRPr="001B02FE" w:rsidRDefault="00DA54F3" w:rsidP="00A535DB">
            <w:pPr>
              <w:spacing w:after="0" w:line="240" w:lineRule="auto"/>
              <w:jc w:val="right"/>
              <w:rPr>
                <w:rFonts w:eastAsia="Times New Roman" w:cstheme="minorHAnsi"/>
                <w:sz w:val="20"/>
                <w:szCs w:val="20"/>
              </w:rPr>
            </w:pPr>
            <w:r w:rsidRPr="001B02FE">
              <w:rPr>
                <w:rFonts w:eastAsia="Times New Roman" w:cstheme="minorHAnsi"/>
                <w:sz w:val="20"/>
                <w:szCs w:val="20"/>
              </w:rPr>
              <w:t>Year ended</w:t>
            </w:r>
          </w:p>
          <w:p w14:paraId="5F8D4164" w14:textId="77777777" w:rsidR="00DA54F3" w:rsidRPr="001B02FE" w:rsidRDefault="00DA54F3" w:rsidP="00A535DB">
            <w:pPr>
              <w:spacing w:after="0" w:line="240" w:lineRule="auto"/>
              <w:jc w:val="right"/>
              <w:rPr>
                <w:rFonts w:eastAsia="Times New Roman" w:cstheme="minorHAnsi"/>
                <w:sz w:val="20"/>
                <w:szCs w:val="20"/>
              </w:rPr>
            </w:pPr>
            <w:r w:rsidRPr="001B02FE">
              <w:rPr>
                <w:rFonts w:eastAsia="Times New Roman" w:cstheme="minorHAnsi"/>
                <w:sz w:val="20"/>
                <w:szCs w:val="20"/>
              </w:rPr>
              <w:t>31 December</w:t>
            </w:r>
          </w:p>
          <w:p w14:paraId="49128AC5" w14:textId="77777777" w:rsidR="00DA54F3" w:rsidRPr="001B02FE" w:rsidRDefault="00DA54F3" w:rsidP="00A535DB">
            <w:pPr>
              <w:keepNext/>
              <w:tabs>
                <w:tab w:val="decimal" w:pos="1202"/>
              </w:tabs>
              <w:spacing w:after="0" w:line="240" w:lineRule="auto"/>
              <w:jc w:val="right"/>
              <w:outlineLvl w:val="0"/>
              <w:rPr>
                <w:rFonts w:eastAsia="Times New Roman" w:cstheme="minorHAnsi"/>
                <w:sz w:val="20"/>
                <w:szCs w:val="20"/>
              </w:rPr>
            </w:pPr>
            <w:r w:rsidRPr="001B02FE">
              <w:rPr>
                <w:rFonts w:eastAsia="Times New Roman" w:cstheme="minorHAnsi"/>
                <w:sz w:val="20"/>
                <w:szCs w:val="20"/>
              </w:rPr>
              <w:t>2018</w:t>
            </w:r>
          </w:p>
        </w:tc>
      </w:tr>
      <w:tr w:rsidR="00DA54F3" w:rsidRPr="001B02FE" w14:paraId="58127B57" w14:textId="77777777" w:rsidTr="00A535DB">
        <w:trPr>
          <w:cantSplit/>
        </w:trPr>
        <w:tc>
          <w:tcPr>
            <w:tcW w:w="6536" w:type="dxa"/>
            <w:tcBorders>
              <w:bottom w:val="single" w:sz="4" w:space="0" w:color="auto"/>
            </w:tcBorders>
          </w:tcPr>
          <w:p w14:paraId="49110432" w14:textId="77777777" w:rsidR="00DA54F3" w:rsidRPr="001B02FE" w:rsidRDefault="00DA54F3" w:rsidP="00A535DB">
            <w:pPr>
              <w:spacing w:after="0" w:line="240" w:lineRule="auto"/>
              <w:jc w:val="right"/>
              <w:rPr>
                <w:rFonts w:eastAsia="Times New Roman" w:cstheme="minorHAnsi"/>
                <w:sz w:val="20"/>
                <w:szCs w:val="20"/>
              </w:rPr>
            </w:pPr>
          </w:p>
        </w:tc>
        <w:tc>
          <w:tcPr>
            <w:tcW w:w="1620" w:type="dxa"/>
            <w:tcBorders>
              <w:bottom w:val="single" w:sz="4" w:space="0" w:color="auto"/>
            </w:tcBorders>
          </w:tcPr>
          <w:p w14:paraId="2CDAC350" w14:textId="77777777" w:rsidR="00DA54F3" w:rsidRPr="001B02FE" w:rsidRDefault="00DA54F3" w:rsidP="00A535DB">
            <w:pPr>
              <w:spacing w:after="0" w:line="240" w:lineRule="auto"/>
              <w:jc w:val="right"/>
              <w:rPr>
                <w:rFonts w:eastAsia="Times New Roman" w:cstheme="minorHAnsi"/>
                <w:b/>
                <w:sz w:val="20"/>
                <w:szCs w:val="20"/>
              </w:rPr>
            </w:pPr>
            <w:r w:rsidRPr="001B02FE">
              <w:rPr>
                <w:rFonts w:eastAsia="Times New Roman" w:cstheme="minorHAnsi"/>
                <w:b/>
                <w:sz w:val="20"/>
                <w:szCs w:val="20"/>
              </w:rPr>
              <w:t>£’000</w:t>
            </w:r>
          </w:p>
        </w:tc>
        <w:tc>
          <w:tcPr>
            <w:tcW w:w="1539" w:type="dxa"/>
            <w:tcBorders>
              <w:bottom w:val="single" w:sz="4" w:space="0" w:color="auto"/>
            </w:tcBorders>
          </w:tcPr>
          <w:p w14:paraId="5F83A309" w14:textId="77777777" w:rsidR="00DA54F3" w:rsidRPr="001B02FE" w:rsidRDefault="00DA54F3" w:rsidP="00A535DB">
            <w:pPr>
              <w:spacing w:after="0" w:line="240" w:lineRule="auto"/>
              <w:jc w:val="right"/>
              <w:rPr>
                <w:rFonts w:eastAsia="Times New Roman" w:cstheme="minorHAnsi"/>
                <w:sz w:val="20"/>
                <w:szCs w:val="20"/>
              </w:rPr>
            </w:pPr>
            <w:r w:rsidRPr="001B02FE">
              <w:rPr>
                <w:rFonts w:eastAsia="Times New Roman" w:cstheme="minorHAnsi"/>
                <w:sz w:val="20"/>
                <w:szCs w:val="20"/>
              </w:rPr>
              <w:t>£’000</w:t>
            </w:r>
          </w:p>
        </w:tc>
      </w:tr>
      <w:tr w:rsidR="00DA54F3" w:rsidRPr="001B02FE" w14:paraId="560FB26D" w14:textId="77777777" w:rsidTr="00A535DB">
        <w:trPr>
          <w:cantSplit/>
        </w:trPr>
        <w:tc>
          <w:tcPr>
            <w:tcW w:w="6536" w:type="dxa"/>
          </w:tcPr>
          <w:p w14:paraId="5812A819" w14:textId="77777777" w:rsidR="00DA54F3" w:rsidRPr="001B02FE" w:rsidRDefault="00DA54F3" w:rsidP="00A535DB">
            <w:pPr>
              <w:spacing w:after="0" w:line="240" w:lineRule="auto"/>
              <w:jc w:val="both"/>
              <w:rPr>
                <w:rFonts w:eastAsia="Times New Roman" w:cstheme="minorHAnsi"/>
                <w:b/>
                <w:sz w:val="20"/>
                <w:szCs w:val="20"/>
              </w:rPr>
            </w:pPr>
          </w:p>
        </w:tc>
        <w:tc>
          <w:tcPr>
            <w:tcW w:w="1620" w:type="dxa"/>
          </w:tcPr>
          <w:p w14:paraId="5EC7ABB6" w14:textId="77777777" w:rsidR="00DA54F3" w:rsidRPr="001B02FE" w:rsidRDefault="00DA54F3" w:rsidP="00A535DB">
            <w:pPr>
              <w:keepNext/>
              <w:spacing w:after="0" w:line="240" w:lineRule="auto"/>
              <w:jc w:val="right"/>
              <w:outlineLvl w:val="0"/>
              <w:rPr>
                <w:rFonts w:eastAsia="Times New Roman" w:cstheme="minorHAnsi"/>
                <w:b/>
                <w:sz w:val="20"/>
                <w:szCs w:val="20"/>
              </w:rPr>
            </w:pPr>
          </w:p>
        </w:tc>
        <w:tc>
          <w:tcPr>
            <w:tcW w:w="1539" w:type="dxa"/>
          </w:tcPr>
          <w:p w14:paraId="2D133CC9" w14:textId="77777777" w:rsidR="00DA54F3" w:rsidRPr="001B02FE" w:rsidRDefault="00DA54F3" w:rsidP="00A535DB">
            <w:pPr>
              <w:keepNext/>
              <w:spacing w:after="0" w:line="240" w:lineRule="auto"/>
              <w:jc w:val="right"/>
              <w:outlineLvl w:val="0"/>
              <w:rPr>
                <w:rFonts w:eastAsia="Times New Roman" w:cstheme="minorHAnsi"/>
                <w:sz w:val="20"/>
                <w:szCs w:val="20"/>
              </w:rPr>
            </w:pPr>
          </w:p>
        </w:tc>
      </w:tr>
      <w:tr w:rsidR="00DA54F3" w:rsidRPr="001B02FE" w14:paraId="0659958A" w14:textId="77777777" w:rsidTr="00A535DB">
        <w:trPr>
          <w:cantSplit/>
        </w:trPr>
        <w:tc>
          <w:tcPr>
            <w:tcW w:w="6536" w:type="dxa"/>
          </w:tcPr>
          <w:p w14:paraId="333CDD69" w14:textId="77777777" w:rsidR="00DA54F3" w:rsidRPr="001B02FE" w:rsidRDefault="00DA54F3" w:rsidP="00A535DB">
            <w:pPr>
              <w:spacing w:after="0" w:line="240" w:lineRule="auto"/>
              <w:jc w:val="both"/>
              <w:rPr>
                <w:rFonts w:eastAsia="Times New Roman" w:cstheme="minorHAnsi"/>
                <w:b/>
                <w:sz w:val="20"/>
                <w:szCs w:val="20"/>
              </w:rPr>
            </w:pPr>
            <w:r w:rsidRPr="001B02FE">
              <w:rPr>
                <w:rFonts w:eastAsia="Times New Roman" w:cstheme="minorHAnsi"/>
                <w:b/>
                <w:sz w:val="20"/>
                <w:szCs w:val="20"/>
              </w:rPr>
              <w:t>Current tax income</w:t>
            </w:r>
          </w:p>
        </w:tc>
        <w:tc>
          <w:tcPr>
            <w:tcW w:w="1620" w:type="dxa"/>
          </w:tcPr>
          <w:p w14:paraId="4106C881" w14:textId="77777777" w:rsidR="00DA54F3" w:rsidRPr="001B02FE" w:rsidRDefault="00DA54F3" w:rsidP="00A535DB">
            <w:pPr>
              <w:keepNext/>
              <w:spacing w:after="0" w:line="240" w:lineRule="auto"/>
              <w:jc w:val="right"/>
              <w:outlineLvl w:val="0"/>
              <w:rPr>
                <w:rFonts w:eastAsia="Times New Roman" w:cstheme="minorHAnsi"/>
                <w:b/>
                <w:sz w:val="20"/>
                <w:szCs w:val="20"/>
              </w:rPr>
            </w:pPr>
          </w:p>
        </w:tc>
        <w:tc>
          <w:tcPr>
            <w:tcW w:w="1539" w:type="dxa"/>
          </w:tcPr>
          <w:p w14:paraId="3C46E204" w14:textId="77777777" w:rsidR="00DA54F3" w:rsidRPr="001B02FE" w:rsidRDefault="00DA54F3" w:rsidP="00A535DB">
            <w:pPr>
              <w:keepNext/>
              <w:spacing w:after="0" w:line="240" w:lineRule="auto"/>
              <w:jc w:val="right"/>
              <w:outlineLvl w:val="0"/>
              <w:rPr>
                <w:rFonts w:eastAsia="Times New Roman" w:cstheme="minorHAnsi"/>
                <w:sz w:val="20"/>
                <w:szCs w:val="20"/>
              </w:rPr>
            </w:pPr>
          </w:p>
        </w:tc>
      </w:tr>
      <w:tr w:rsidR="00DA54F3" w:rsidRPr="001B02FE" w14:paraId="07466086" w14:textId="77777777" w:rsidTr="00A535DB">
        <w:trPr>
          <w:cantSplit/>
          <w:trHeight w:val="479"/>
        </w:trPr>
        <w:tc>
          <w:tcPr>
            <w:tcW w:w="6536" w:type="dxa"/>
          </w:tcPr>
          <w:p w14:paraId="35CA79B1"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United Kingdom corporation tax</w:t>
            </w:r>
          </w:p>
        </w:tc>
        <w:tc>
          <w:tcPr>
            <w:tcW w:w="1620" w:type="dxa"/>
          </w:tcPr>
          <w:p w14:paraId="33AB5BBC"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w:t>
            </w:r>
          </w:p>
        </w:tc>
        <w:tc>
          <w:tcPr>
            <w:tcW w:w="1539" w:type="dxa"/>
          </w:tcPr>
          <w:p w14:paraId="4FEB0C5E" w14:textId="77777777" w:rsidR="00DA54F3" w:rsidRPr="001B02FE" w:rsidRDefault="00DA54F3" w:rsidP="00A535DB">
            <w:pPr>
              <w:keepNext/>
              <w:tabs>
                <w:tab w:val="decimal" w:pos="1342"/>
              </w:tabs>
              <w:spacing w:after="0" w:line="240" w:lineRule="auto"/>
              <w:ind w:right="-160"/>
              <w:outlineLvl w:val="0"/>
              <w:rPr>
                <w:rFonts w:eastAsia="Times New Roman" w:cstheme="minorHAnsi"/>
                <w:bCs/>
                <w:sz w:val="20"/>
                <w:szCs w:val="20"/>
              </w:rPr>
            </w:pPr>
            <w:r w:rsidRPr="001B02FE">
              <w:rPr>
                <w:rFonts w:eastAsia="Times New Roman" w:cstheme="minorHAnsi"/>
                <w:bCs/>
                <w:sz w:val="20"/>
                <w:szCs w:val="20"/>
              </w:rPr>
              <w:t>–</w:t>
            </w:r>
          </w:p>
        </w:tc>
      </w:tr>
      <w:tr w:rsidR="00DA54F3" w:rsidRPr="001B02FE" w14:paraId="2791A65B" w14:textId="77777777" w:rsidTr="00A535DB">
        <w:trPr>
          <w:cantSplit/>
        </w:trPr>
        <w:tc>
          <w:tcPr>
            <w:tcW w:w="6536" w:type="dxa"/>
            <w:tcBorders>
              <w:bottom w:val="single" w:sz="4" w:space="0" w:color="auto"/>
            </w:tcBorders>
          </w:tcPr>
          <w:p w14:paraId="31F19726"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Adjustment in respect of prior period</w:t>
            </w:r>
          </w:p>
        </w:tc>
        <w:tc>
          <w:tcPr>
            <w:tcW w:w="1620" w:type="dxa"/>
            <w:tcBorders>
              <w:bottom w:val="single" w:sz="4" w:space="0" w:color="auto"/>
            </w:tcBorders>
          </w:tcPr>
          <w:p w14:paraId="1C405590"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sz w:val="20"/>
                <w:szCs w:val="20"/>
              </w:rPr>
            </w:pPr>
            <w:r w:rsidRPr="001B02FE">
              <w:rPr>
                <w:rFonts w:eastAsia="Times New Roman" w:cstheme="minorHAnsi"/>
                <w:b/>
                <w:sz w:val="20"/>
                <w:szCs w:val="20"/>
              </w:rPr>
              <w:t>–</w:t>
            </w:r>
          </w:p>
        </w:tc>
        <w:tc>
          <w:tcPr>
            <w:tcW w:w="1539" w:type="dxa"/>
            <w:tcBorders>
              <w:bottom w:val="single" w:sz="4" w:space="0" w:color="auto"/>
            </w:tcBorders>
          </w:tcPr>
          <w:p w14:paraId="6B1F3719" w14:textId="77777777" w:rsidR="00DA54F3" w:rsidRPr="001B02FE" w:rsidRDefault="00DA54F3" w:rsidP="00A535DB">
            <w:pPr>
              <w:keepNext/>
              <w:tabs>
                <w:tab w:val="decimal" w:pos="1342"/>
              </w:tabs>
              <w:spacing w:after="0" w:line="240" w:lineRule="auto"/>
              <w:outlineLvl w:val="0"/>
              <w:rPr>
                <w:rFonts w:eastAsia="Times New Roman" w:cstheme="minorHAnsi"/>
                <w:bCs/>
                <w:sz w:val="20"/>
                <w:szCs w:val="20"/>
              </w:rPr>
            </w:pPr>
            <w:r w:rsidRPr="001B02FE">
              <w:rPr>
                <w:rFonts w:eastAsia="Times New Roman" w:cstheme="minorHAnsi"/>
                <w:bCs/>
                <w:sz w:val="20"/>
                <w:szCs w:val="20"/>
              </w:rPr>
              <w:t xml:space="preserve">    (4)</w:t>
            </w:r>
          </w:p>
        </w:tc>
      </w:tr>
      <w:tr w:rsidR="00DA54F3" w:rsidRPr="001B02FE" w14:paraId="760D4B58" w14:textId="77777777" w:rsidTr="00A535DB">
        <w:trPr>
          <w:cantSplit/>
        </w:trPr>
        <w:tc>
          <w:tcPr>
            <w:tcW w:w="6536" w:type="dxa"/>
            <w:tcBorders>
              <w:top w:val="single" w:sz="4" w:space="0" w:color="auto"/>
            </w:tcBorders>
          </w:tcPr>
          <w:p w14:paraId="19A7B6AB"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b/>
                <w:sz w:val="20"/>
                <w:szCs w:val="20"/>
              </w:rPr>
              <w:t>Total current tax income</w:t>
            </w:r>
          </w:p>
        </w:tc>
        <w:tc>
          <w:tcPr>
            <w:tcW w:w="1620" w:type="dxa"/>
            <w:tcBorders>
              <w:top w:val="single" w:sz="4" w:space="0" w:color="auto"/>
            </w:tcBorders>
          </w:tcPr>
          <w:p w14:paraId="52178E25"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w:t>
            </w:r>
          </w:p>
        </w:tc>
        <w:tc>
          <w:tcPr>
            <w:tcW w:w="1539" w:type="dxa"/>
            <w:tcBorders>
              <w:top w:val="single" w:sz="4" w:space="0" w:color="auto"/>
            </w:tcBorders>
          </w:tcPr>
          <w:p w14:paraId="6CB4FAFA" w14:textId="77777777" w:rsidR="00DA54F3" w:rsidRPr="001B02FE" w:rsidRDefault="00DA54F3" w:rsidP="00A535DB">
            <w:pPr>
              <w:keepNext/>
              <w:tabs>
                <w:tab w:val="decimal" w:pos="1342"/>
              </w:tabs>
              <w:spacing w:after="0" w:line="240" w:lineRule="auto"/>
              <w:outlineLvl w:val="0"/>
              <w:rPr>
                <w:rFonts w:eastAsia="Times New Roman" w:cstheme="minorHAnsi"/>
                <w:bCs/>
                <w:sz w:val="20"/>
                <w:szCs w:val="20"/>
              </w:rPr>
            </w:pPr>
            <w:r w:rsidRPr="001B02FE">
              <w:rPr>
                <w:rFonts w:eastAsia="Times New Roman" w:cstheme="minorHAnsi"/>
                <w:bCs/>
                <w:sz w:val="20"/>
                <w:szCs w:val="20"/>
              </w:rPr>
              <w:t xml:space="preserve">    (4)</w:t>
            </w:r>
          </w:p>
        </w:tc>
      </w:tr>
      <w:tr w:rsidR="00DA54F3" w:rsidRPr="001B02FE" w14:paraId="54937A7D" w14:textId="77777777" w:rsidTr="00A535DB">
        <w:trPr>
          <w:cantSplit/>
        </w:trPr>
        <w:tc>
          <w:tcPr>
            <w:tcW w:w="6536" w:type="dxa"/>
          </w:tcPr>
          <w:p w14:paraId="771058FD" w14:textId="77777777" w:rsidR="00DA54F3" w:rsidRPr="001B02FE" w:rsidRDefault="00DA54F3" w:rsidP="00A535DB">
            <w:pPr>
              <w:spacing w:after="0" w:line="240" w:lineRule="auto"/>
              <w:jc w:val="both"/>
              <w:rPr>
                <w:rFonts w:eastAsia="Times New Roman" w:cstheme="minorHAnsi"/>
                <w:b/>
                <w:sz w:val="20"/>
                <w:szCs w:val="20"/>
              </w:rPr>
            </w:pPr>
          </w:p>
          <w:p w14:paraId="4932E303" w14:textId="77777777" w:rsidR="00DA54F3" w:rsidRPr="001B02FE" w:rsidRDefault="00DA54F3" w:rsidP="00A535DB">
            <w:pPr>
              <w:spacing w:after="0" w:line="240" w:lineRule="auto"/>
              <w:jc w:val="both"/>
              <w:rPr>
                <w:rFonts w:eastAsia="Times New Roman" w:cstheme="minorHAnsi"/>
                <w:b/>
                <w:sz w:val="20"/>
                <w:szCs w:val="20"/>
              </w:rPr>
            </w:pPr>
            <w:r w:rsidRPr="001B02FE">
              <w:rPr>
                <w:rFonts w:eastAsia="Times New Roman" w:cstheme="minorHAnsi"/>
                <w:b/>
                <w:sz w:val="20"/>
                <w:szCs w:val="20"/>
              </w:rPr>
              <w:t>Deferred tax</w:t>
            </w:r>
          </w:p>
        </w:tc>
        <w:tc>
          <w:tcPr>
            <w:tcW w:w="1620" w:type="dxa"/>
          </w:tcPr>
          <w:p w14:paraId="403BC2BB" w14:textId="77777777" w:rsidR="00DA54F3" w:rsidRPr="001B02FE" w:rsidRDefault="00DA54F3" w:rsidP="00A535DB">
            <w:pPr>
              <w:keepNext/>
              <w:spacing w:after="0" w:line="240" w:lineRule="auto"/>
              <w:jc w:val="right"/>
              <w:outlineLvl w:val="0"/>
              <w:rPr>
                <w:rFonts w:eastAsia="Times New Roman" w:cstheme="minorHAnsi"/>
                <w:b/>
                <w:sz w:val="20"/>
                <w:szCs w:val="20"/>
              </w:rPr>
            </w:pPr>
          </w:p>
        </w:tc>
        <w:tc>
          <w:tcPr>
            <w:tcW w:w="1539" w:type="dxa"/>
          </w:tcPr>
          <w:p w14:paraId="4FAA5534" w14:textId="77777777" w:rsidR="00DA54F3" w:rsidRPr="001B02FE" w:rsidRDefault="00DA54F3" w:rsidP="00A535DB">
            <w:pPr>
              <w:keepNext/>
              <w:tabs>
                <w:tab w:val="decimal" w:pos="1342"/>
              </w:tabs>
              <w:spacing w:after="0" w:line="240" w:lineRule="auto"/>
              <w:jc w:val="right"/>
              <w:outlineLvl w:val="0"/>
              <w:rPr>
                <w:rFonts w:eastAsia="Times New Roman" w:cstheme="minorHAnsi"/>
                <w:sz w:val="20"/>
                <w:szCs w:val="20"/>
              </w:rPr>
            </w:pPr>
          </w:p>
        </w:tc>
      </w:tr>
      <w:tr w:rsidR="00DA54F3" w:rsidRPr="001B02FE" w14:paraId="4234882B" w14:textId="77777777" w:rsidTr="00A535DB">
        <w:trPr>
          <w:cantSplit/>
          <w:trHeight w:val="325"/>
        </w:trPr>
        <w:tc>
          <w:tcPr>
            <w:tcW w:w="6536" w:type="dxa"/>
          </w:tcPr>
          <w:p w14:paraId="38CEFC01"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Effect of change in tax rates</w:t>
            </w:r>
          </w:p>
        </w:tc>
        <w:tc>
          <w:tcPr>
            <w:tcW w:w="1620" w:type="dxa"/>
          </w:tcPr>
          <w:p w14:paraId="77A69018"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(100)</w:t>
            </w:r>
          </w:p>
        </w:tc>
        <w:tc>
          <w:tcPr>
            <w:tcW w:w="1539" w:type="dxa"/>
          </w:tcPr>
          <w:p w14:paraId="4BF2F1D6" w14:textId="77777777" w:rsidR="00DA54F3" w:rsidRPr="001B02FE" w:rsidRDefault="00DA54F3" w:rsidP="00A535DB">
            <w:pPr>
              <w:keepNext/>
              <w:tabs>
                <w:tab w:val="decimal" w:pos="1342"/>
              </w:tabs>
              <w:spacing w:after="0" w:line="240" w:lineRule="auto"/>
              <w:ind w:right="-160"/>
              <w:outlineLvl w:val="0"/>
              <w:rPr>
                <w:rFonts w:eastAsia="Times New Roman" w:cstheme="minorHAnsi"/>
                <w:sz w:val="20"/>
                <w:szCs w:val="20"/>
              </w:rPr>
            </w:pPr>
            <w:r w:rsidRPr="001B02FE">
              <w:rPr>
                <w:rFonts w:eastAsia="Times New Roman" w:cstheme="minorHAnsi"/>
                <w:b/>
                <w:sz w:val="20"/>
                <w:szCs w:val="20"/>
              </w:rPr>
              <w:t>–</w:t>
            </w:r>
          </w:p>
        </w:tc>
      </w:tr>
      <w:tr w:rsidR="00DA54F3" w:rsidRPr="001B02FE" w14:paraId="01808FF8" w14:textId="77777777" w:rsidTr="00A535DB">
        <w:trPr>
          <w:cantSplit/>
        </w:trPr>
        <w:tc>
          <w:tcPr>
            <w:tcW w:w="6536" w:type="dxa"/>
          </w:tcPr>
          <w:p w14:paraId="7458A2E6"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Origination and reversal of temporary differences</w:t>
            </w:r>
          </w:p>
        </w:tc>
        <w:tc>
          <w:tcPr>
            <w:tcW w:w="1620" w:type="dxa"/>
          </w:tcPr>
          <w:p w14:paraId="076E4420"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(454)</w:t>
            </w:r>
          </w:p>
        </w:tc>
        <w:tc>
          <w:tcPr>
            <w:tcW w:w="1539" w:type="dxa"/>
          </w:tcPr>
          <w:p w14:paraId="2C3828C3" w14:textId="77777777" w:rsidR="00DA54F3" w:rsidRPr="001B02FE" w:rsidRDefault="00DA54F3" w:rsidP="00A535DB">
            <w:pPr>
              <w:keepNext/>
              <w:tabs>
                <w:tab w:val="decimal" w:pos="1342"/>
              </w:tabs>
              <w:spacing w:after="0" w:line="240" w:lineRule="auto"/>
              <w:ind w:right="-160"/>
              <w:jc w:val="both"/>
              <w:outlineLvl w:val="0"/>
              <w:rPr>
                <w:rFonts w:eastAsia="Times New Roman" w:cstheme="minorHAnsi"/>
                <w:sz w:val="20"/>
                <w:szCs w:val="20"/>
              </w:rPr>
            </w:pPr>
            <w:r w:rsidRPr="001B02FE">
              <w:rPr>
                <w:rFonts w:eastAsia="Times New Roman" w:cstheme="minorHAnsi"/>
                <w:sz w:val="20"/>
                <w:szCs w:val="20"/>
              </w:rPr>
              <w:t>119</w:t>
            </w:r>
          </w:p>
        </w:tc>
      </w:tr>
      <w:tr w:rsidR="00DA54F3" w:rsidRPr="001B02FE" w14:paraId="632E1733" w14:textId="77777777" w:rsidTr="00A535DB">
        <w:trPr>
          <w:cantSplit/>
          <w:trHeight w:val="283"/>
        </w:trPr>
        <w:tc>
          <w:tcPr>
            <w:tcW w:w="6536" w:type="dxa"/>
            <w:tcBorders>
              <w:top w:val="single" w:sz="4" w:space="0" w:color="auto"/>
              <w:bottom w:val="single" w:sz="12" w:space="0" w:color="auto"/>
            </w:tcBorders>
            <w:vAlign w:val="center"/>
          </w:tcPr>
          <w:p w14:paraId="3C1FC960" w14:textId="77777777" w:rsidR="00DA54F3" w:rsidRPr="001B02FE" w:rsidRDefault="00DA54F3" w:rsidP="00A535DB">
            <w:pPr>
              <w:spacing w:after="0" w:line="240" w:lineRule="auto"/>
              <w:rPr>
                <w:rFonts w:eastAsia="Times New Roman" w:cstheme="minorHAnsi"/>
                <w:b/>
                <w:sz w:val="20"/>
                <w:szCs w:val="20"/>
              </w:rPr>
            </w:pPr>
            <w:r w:rsidRPr="001B02FE">
              <w:rPr>
                <w:rFonts w:eastAsia="Times New Roman" w:cstheme="minorHAnsi"/>
                <w:b/>
                <w:sz w:val="20"/>
                <w:szCs w:val="20"/>
              </w:rPr>
              <w:t>Tax on loss for the period</w:t>
            </w:r>
          </w:p>
        </w:tc>
        <w:tc>
          <w:tcPr>
            <w:tcW w:w="1620" w:type="dxa"/>
            <w:tcBorders>
              <w:top w:val="single" w:sz="4" w:space="0" w:color="auto"/>
              <w:bottom w:val="single" w:sz="12" w:space="0" w:color="auto"/>
            </w:tcBorders>
            <w:vAlign w:val="center"/>
          </w:tcPr>
          <w:p w14:paraId="2A7D4F21" w14:textId="77777777" w:rsidR="00DA54F3" w:rsidRPr="001B02FE" w:rsidRDefault="00DA54F3" w:rsidP="00A535DB">
            <w:pPr>
              <w:keepNext/>
              <w:tabs>
                <w:tab w:val="decimal" w:pos="1402"/>
              </w:tabs>
              <w:spacing w:after="0" w:line="240" w:lineRule="auto"/>
              <w:ind w:right="2"/>
              <w:jc w:val="right"/>
              <w:outlineLvl w:val="0"/>
              <w:rPr>
                <w:rFonts w:eastAsia="Times New Roman" w:cstheme="minorHAnsi"/>
                <w:b/>
                <w:sz w:val="20"/>
                <w:szCs w:val="20"/>
              </w:rPr>
            </w:pPr>
            <w:r w:rsidRPr="001B02FE">
              <w:rPr>
                <w:rFonts w:eastAsia="Times New Roman" w:cstheme="minorHAnsi"/>
                <w:b/>
                <w:sz w:val="20"/>
                <w:szCs w:val="20"/>
              </w:rPr>
              <w:t>(554)</w:t>
            </w:r>
          </w:p>
        </w:tc>
        <w:tc>
          <w:tcPr>
            <w:tcW w:w="1539" w:type="dxa"/>
            <w:tcBorders>
              <w:top w:val="single" w:sz="4" w:space="0" w:color="auto"/>
              <w:bottom w:val="single" w:sz="12" w:space="0" w:color="auto"/>
            </w:tcBorders>
            <w:vAlign w:val="center"/>
          </w:tcPr>
          <w:p w14:paraId="24516F78" w14:textId="77777777" w:rsidR="00DA54F3" w:rsidRPr="001B02FE" w:rsidRDefault="00DA54F3" w:rsidP="00A535DB">
            <w:pPr>
              <w:keepNext/>
              <w:tabs>
                <w:tab w:val="decimal" w:pos="1342"/>
              </w:tabs>
              <w:spacing w:after="0" w:line="240" w:lineRule="auto"/>
              <w:ind w:right="2"/>
              <w:jc w:val="right"/>
              <w:outlineLvl w:val="0"/>
              <w:rPr>
                <w:rFonts w:eastAsia="Times New Roman" w:cstheme="minorHAnsi"/>
                <w:sz w:val="20"/>
                <w:szCs w:val="20"/>
              </w:rPr>
            </w:pPr>
            <w:r w:rsidRPr="001B02FE">
              <w:rPr>
                <w:rFonts w:eastAsia="Times New Roman" w:cstheme="minorHAnsi"/>
                <w:sz w:val="20"/>
                <w:szCs w:val="20"/>
              </w:rPr>
              <w:t>115</w:t>
            </w:r>
          </w:p>
        </w:tc>
      </w:tr>
    </w:tbl>
    <w:p w14:paraId="0B7A1C2D" w14:textId="2AA716F5" w:rsidR="00DA54F3" w:rsidRPr="001B02FE" w:rsidRDefault="00DA54F3" w:rsidP="00DA54F3">
      <w:pPr>
        <w:spacing w:after="0" w:line="240" w:lineRule="auto"/>
        <w:jc w:val="both"/>
        <w:rPr>
          <w:rFonts w:eastAsia="Times New Roman" w:cstheme="minorHAnsi"/>
          <w:b/>
          <w:sz w:val="20"/>
          <w:szCs w:val="20"/>
        </w:rPr>
      </w:pPr>
    </w:p>
    <w:p w14:paraId="6697AF34" w14:textId="77777777" w:rsidR="00DA54F3" w:rsidRPr="001B02FE" w:rsidRDefault="00DA54F3" w:rsidP="00DA54F3">
      <w:pPr>
        <w:spacing w:after="0" w:line="240" w:lineRule="auto"/>
        <w:jc w:val="both"/>
        <w:rPr>
          <w:rFonts w:eastAsia="Times New Roman" w:cstheme="minorHAnsi"/>
          <w:sz w:val="20"/>
          <w:szCs w:val="20"/>
        </w:rPr>
      </w:pPr>
    </w:p>
    <w:p w14:paraId="64295B52" w14:textId="77777777"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sz w:val="20"/>
          <w:szCs w:val="20"/>
        </w:rPr>
        <w:t>The tax assessed for the year is different from the standard rate of corporation tax in the UK. The differences are explained below:</w:t>
      </w:r>
    </w:p>
    <w:p w14:paraId="21A1352E" w14:textId="77777777" w:rsidR="00DA54F3" w:rsidRPr="001B02FE" w:rsidRDefault="00DA54F3" w:rsidP="00DA54F3">
      <w:pPr>
        <w:spacing w:after="0" w:line="240" w:lineRule="auto"/>
        <w:jc w:val="both"/>
        <w:rPr>
          <w:rFonts w:eastAsia="Times New Roman" w:cstheme="minorHAnsi"/>
          <w:sz w:val="20"/>
          <w:szCs w:val="20"/>
        </w:rPr>
      </w:pPr>
    </w:p>
    <w:tbl>
      <w:tblPr>
        <w:tblW w:w="10348" w:type="dxa"/>
        <w:tblLayout w:type="fixed"/>
        <w:tblLook w:val="0000" w:firstRow="0" w:lastRow="0" w:firstColumn="0" w:lastColumn="0" w:noHBand="0" w:noVBand="0"/>
      </w:tblPr>
      <w:tblGrid>
        <w:gridCol w:w="6546"/>
        <w:gridCol w:w="1622"/>
        <w:gridCol w:w="2180"/>
      </w:tblGrid>
      <w:tr w:rsidR="00DA54F3" w:rsidRPr="001B02FE" w14:paraId="0E4A05B0" w14:textId="77777777" w:rsidTr="00A535DB">
        <w:trPr>
          <w:cantSplit/>
          <w:trHeight w:val="207"/>
        </w:trPr>
        <w:tc>
          <w:tcPr>
            <w:tcW w:w="6546" w:type="dxa"/>
          </w:tcPr>
          <w:p w14:paraId="4081D7C3" w14:textId="77777777" w:rsidR="00DA54F3" w:rsidRPr="001B02FE" w:rsidRDefault="00DA54F3" w:rsidP="00A535DB">
            <w:pPr>
              <w:spacing w:after="0" w:line="240" w:lineRule="auto"/>
              <w:jc w:val="both"/>
              <w:rPr>
                <w:rFonts w:eastAsia="Times New Roman" w:cstheme="minorHAnsi"/>
                <w:sz w:val="20"/>
                <w:szCs w:val="20"/>
              </w:rPr>
            </w:pPr>
          </w:p>
        </w:tc>
        <w:tc>
          <w:tcPr>
            <w:tcW w:w="1622" w:type="dxa"/>
            <w:shd w:val="clear" w:color="auto" w:fill="auto"/>
          </w:tcPr>
          <w:p w14:paraId="503F3A91" w14:textId="77777777" w:rsidR="00DA54F3" w:rsidRPr="001B02FE" w:rsidRDefault="00DA54F3" w:rsidP="00A535DB">
            <w:pPr>
              <w:keepNext/>
              <w:spacing w:after="0" w:line="240" w:lineRule="auto"/>
              <w:jc w:val="right"/>
              <w:outlineLvl w:val="0"/>
              <w:rPr>
                <w:rFonts w:eastAsia="Times New Roman" w:cstheme="minorHAnsi"/>
                <w:b/>
                <w:sz w:val="20"/>
                <w:szCs w:val="20"/>
              </w:rPr>
            </w:pPr>
          </w:p>
        </w:tc>
        <w:tc>
          <w:tcPr>
            <w:tcW w:w="2180" w:type="dxa"/>
          </w:tcPr>
          <w:p w14:paraId="24B6A7A4" w14:textId="77777777" w:rsidR="00DA54F3" w:rsidRPr="001B02FE" w:rsidRDefault="00DA54F3" w:rsidP="00A535DB">
            <w:pPr>
              <w:keepNext/>
              <w:spacing w:after="0" w:line="240" w:lineRule="auto"/>
              <w:jc w:val="right"/>
              <w:outlineLvl w:val="0"/>
              <w:rPr>
                <w:rFonts w:eastAsia="Times New Roman" w:cstheme="minorHAnsi"/>
                <w:sz w:val="20"/>
                <w:szCs w:val="20"/>
              </w:rPr>
            </w:pPr>
          </w:p>
        </w:tc>
      </w:tr>
      <w:tr w:rsidR="00DA54F3" w:rsidRPr="001B02FE" w14:paraId="6C72F8CD" w14:textId="77777777" w:rsidTr="00A535DB">
        <w:trPr>
          <w:cantSplit/>
          <w:trHeight w:val="261"/>
        </w:trPr>
        <w:tc>
          <w:tcPr>
            <w:tcW w:w="6546" w:type="dxa"/>
            <w:tcBorders>
              <w:bottom w:val="single" w:sz="12" w:space="0" w:color="auto"/>
            </w:tcBorders>
          </w:tcPr>
          <w:p w14:paraId="48C8F2E0"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Loss before tax</w:t>
            </w:r>
          </w:p>
        </w:tc>
        <w:tc>
          <w:tcPr>
            <w:tcW w:w="1622" w:type="dxa"/>
            <w:tcBorders>
              <w:bottom w:val="single" w:sz="12" w:space="0" w:color="auto"/>
            </w:tcBorders>
            <w:shd w:val="clear" w:color="auto" w:fill="auto"/>
          </w:tcPr>
          <w:p w14:paraId="601A4F38"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5,064</w:t>
            </w:r>
          </w:p>
        </w:tc>
        <w:tc>
          <w:tcPr>
            <w:tcW w:w="2180" w:type="dxa"/>
            <w:tcBorders>
              <w:bottom w:val="single" w:sz="12" w:space="0" w:color="auto"/>
            </w:tcBorders>
          </w:tcPr>
          <w:p w14:paraId="6C5DFAFF" w14:textId="77777777" w:rsidR="00DA54F3" w:rsidRPr="001B02FE" w:rsidRDefault="00DA54F3" w:rsidP="00A535DB">
            <w:pPr>
              <w:keepNext/>
              <w:tabs>
                <w:tab w:val="decimal" w:pos="1402"/>
              </w:tabs>
              <w:spacing w:after="0" w:line="240" w:lineRule="auto"/>
              <w:ind w:right="-160"/>
              <w:jc w:val="center"/>
              <w:outlineLvl w:val="0"/>
              <w:rPr>
                <w:rFonts w:eastAsia="Times New Roman" w:cstheme="minorHAnsi"/>
                <w:bCs/>
                <w:sz w:val="20"/>
                <w:szCs w:val="20"/>
              </w:rPr>
            </w:pPr>
            <w:r w:rsidRPr="001B02FE">
              <w:rPr>
                <w:rFonts w:eastAsia="Times New Roman" w:cstheme="minorHAnsi"/>
                <w:bCs/>
                <w:sz w:val="20"/>
                <w:szCs w:val="20"/>
              </w:rPr>
              <w:t>5,990</w:t>
            </w:r>
          </w:p>
        </w:tc>
      </w:tr>
      <w:tr w:rsidR="00DA54F3" w:rsidRPr="001B02FE" w14:paraId="084BB85B" w14:textId="77777777" w:rsidTr="00A535DB">
        <w:trPr>
          <w:cantSplit/>
          <w:trHeight w:val="221"/>
        </w:trPr>
        <w:tc>
          <w:tcPr>
            <w:tcW w:w="6546" w:type="dxa"/>
            <w:tcBorders>
              <w:top w:val="single" w:sz="12" w:space="0" w:color="auto"/>
            </w:tcBorders>
          </w:tcPr>
          <w:p w14:paraId="11BFCD88" w14:textId="77777777" w:rsidR="00DA54F3" w:rsidRPr="001B02FE" w:rsidRDefault="00DA54F3" w:rsidP="00A535DB">
            <w:pPr>
              <w:spacing w:after="0" w:line="240" w:lineRule="auto"/>
              <w:jc w:val="both"/>
              <w:rPr>
                <w:rFonts w:eastAsia="Times New Roman" w:cstheme="minorHAnsi"/>
                <w:sz w:val="20"/>
                <w:szCs w:val="20"/>
              </w:rPr>
            </w:pPr>
          </w:p>
        </w:tc>
        <w:tc>
          <w:tcPr>
            <w:tcW w:w="1622" w:type="dxa"/>
            <w:tcBorders>
              <w:top w:val="single" w:sz="12" w:space="0" w:color="auto"/>
            </w:tcBorders>
            <w:shd w:val="clear" w:color="auto" w:fill="auto"/>
          </w:tcPr>
          <w:p w14:paraId="063C9408" w14:textId="77777777" w:rsidR="00DA54F3" w:rsidRPr="001B02FE" w:rsidRDefault="00DA54F3" w:rsidP="00A535DB">
            <w:pPr>
              <w:keepNext/>
              <w:spacing w:after="0" w:line="240" w:lineRule="auto"/>
              <w:jc w:val="right"/>
              <w:outlineLvl w:val="0"/>
              <w:rPr>
                <w:rFonts w:eastAsia="Times New Roman" w:cstheme="minorHAnsi"/>
                <w:b/>
                <w:sz w:val="20"/>
                <w:szCs w:val="20"/>
              </w:rPr>
            </w:pPr>
          </w:p>
        </w:tc>
        <w:tc>
          <w:tcPr>
            <w:tcW w:w="2180" w:type="dxa"/>
            <w:tcBorders>
              <w:top w:val="single" w:sz="12" w:space="0" w:color="auto"/>
            </w:tcBorders>
          </w:tcPr>
          <w:p w14:paraId="5D079E2B" w14:textId="77777777" w:rsidR="00DA54F3" w:rsidRPr="001B02FE" w:rsidRDefault="00DA54F3" w:rsidP="00A535DB">
            <w:pPr>
              <w:keepNext/>
              <w:spacing w:after="0" w:line="240" w:lineRule="auto"/>
              <w:jc w:val="center"/>
              <w:outlineLvl w:val="0"/>
              <w:rPr>
                <w:rFonts w:eastAsia="Times New Roman" w:cstheme="minorHAnsi"/>
                <w:bCs/>
                <w:sz w:val="20"/>
                <w:szCs w:val="20"/>
              </w:rPr>
            </w:pPr>
          </w:p>
        </w:tc>
      </w:tr>
      <w:tr w:rsidR="00DA54F3" w:rsidRPr="001B02FE" w14:paraId="3AB5F2A4" w14:textId="77777777" w:rsidTr="00A535DB">
        <w:trPr>
          <w:cantSplit/>
          <w:trHeight w:val="415"/>
        </w:trPr>
        <w:tc>
          <w:tcPr>
            <w:tcW w:w="6546" w:type="dxa"/>
          </w:tcPr>
          <w:p w14:paraId="5BEC41A4"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 xml:space="preserve">Loss before tax multiplied by the standard rate of corporation tax </w:t>
            </w:r>
          </w:p>
          <w:p w14:paraId="119F0E77"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in the UK of 19% (</w:t>
            </w:r>
            <w:r w:rsidRPr="001B02FE">
              <w:rPr>
                <w:rFonts w:eastAsia="Times New Roman" w:cstheme="minorHAnsi"/>
                <w:sz w:val="20"/>
                <w:szCs w:val="20"/>
                <w:lang w:eastAsia="en-GB"/>
              </w:rPr>
              <w:t>2018</w:t>
            </w:r>
            <w:r w:rsidRPr="001B02FE">
              <w:rPr>
                <w:rFonts w:eastAsia="Times New Roman" w:cstheme="minorHAnsi"/>
                <w:sz w:val="20"/>
                <w:szCs w:val="20"/>
              </w:rPr>
              <w:t xml:space="preserve"> – 19%)</w:t>
            </w:r>
          </w:p>
        </w:tc>
        <w:tc>
          <w:tcPr>
            <w:tcW w:w="1622" w:type="dxa"/>
            <w:shd w:val="clear" w:color="auto" w:fill="auto"/>
          </w:tcPr>
          <w:p w14:paraId="1DFAB590"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sz w:val="20"/>
                <w:szCs w:val="20"/>
              </w:rPr>
            </w:pPr>
            <w:r w:rsidRPr="001B02FE">
              <w:rPr>
                <w:rFonts w:eastAsia="Times New Roman" w:cstheme="minorHAnsi"/>
                <w:b/>
                <w:bCs/>
                <w:sz w:val="20"/>
                <w:szCs w:val="20"/>
              </w:rPr>
              <w:t>962</w:t>
            </w:r>
          </w:p>
        </w:tc>
        <w:tc>
          <w:tcPr>
            <w:tcW w:w="2180" w:type="dxa"/>
          </w:tcPr>
          <w:p w14:paraId="36140FFB" w14:textId="77777777" w:rsidR="00DA54F3" w:rsidRPr="001B02FE" w:rsidRDefault="00DA54F3" w:rsidP="00A535DB">
            <w:pPr>
              <w:keepNext/>
              <w:tabs>
                <w:tab w:val="decimal" w:pos="1402"/>
              </w:tabs>
              <w:spacing w:after="0" w:line="240" w:lineRule="auto"/>
              <w:ind w:right="-160"/>
              <w:jc w:val="center"/>
              <w:outlineLvl w:val="0"/>
              <w:rPr>
                <w:rFonts w:eastAsia="Times New Roman" w:cstheme="minorHAnsi"/>
                <w:bCs/>
                <w:sz w:val="20"/>
                <w:szCs w:val="20"/>
              </w:rPr>
            </w:pPr>
            <w:r w:rsidRPr="001B02FE">
              <w:rPr>
                <w:rFonts w:eastAsia="Times New Roman" w:cstheme="minorHAnsi"/>
                <w:bCs/>
                <w:sz w:val="20"/>
                <w:szCs w:val="20"/>
              </w:rPr>
              <w:t>1,138</w:t>
            </w:r>
          </w:p>
        </w:tc>
      </w:tr>
      <w:tr w:rsidR="00DA54F3" w:rsidRPr="001B02FE" w14:paraId="0E01871C" w14:textId="77777777" w:rsidTr="00A535DB">
        <w:trPr>
          <w:cantSplit/>
          <w:trHeight w:val="221"/>
        </w:trPr>
        <w:tc>
          <w:tcPr>
            <w:tcW w:w="6546" w:type="dxa"/>
          </w:tcPr>
          <w:p w14:paraId="712A4AFA" w14:textId="77777777" w:rsidR="00DA54F3" w:rsidRPr="001B02FE" w:rsidRDefault="00DA54F3" w:rsidP="00A535DB">
            <w:pPr>
              <w:spacing w:after="0" w:line="240" w:lineRule="auto"/>
              <w:jc w:val="both"/>
              <w:rPr>
                <w:rFonts w:eastAsia="Times New Roman" w:cstheme="minorHAnsi"/>
                <w:b/>
                <w:sz w:val="20"/>
                <w:szCs w:val="20"/>
              </w:rPr>
            </w:pPr>
            <w:r w:rsidRPr="001B02FE">
              <w:rPr>
                <w:rFonts w:eastAsia="Times New Roman" w:cstheme="minorHAnsi"/>
                <w:b/>
                <w:sz w:val="20"/>
                <w:szCs w:val="20"/>
              </w:rPr>
              <w:t>Effects of:</w:t>
            </w:r>
          </w:p>
        </w:tc>
        <w:tc>
          <w:tcPr>
            <w:tcW w:w="1622" w:type="dxa"/>
            <w:shd w:val="clear" w:color="auto" w:fill="auto"/>
          </w:tcPr>
          <w:p w14:paraId="7E8B4B02" w14:textId="77777777" w:rsidR="00DA54F3" w:rsidRPr="001B02FE" w:rsidRDefault="00DA54F3" w:rsidP="00A535DB">
            <w:pPr>
              <w:keepNext/>
              <w:tabs>
                <w:tab w:val="decimal" w:pos="1261"/>
              </w:tabs>
              <w:spacing w:after="0" w:line="240" w:lineRule="auto"/>
              <w:jc w:val="right"/>
              <w:outlineLvl w:val="0"/>
              <w:rPr>
                <w:rFonts w:eastAsia="Times New Roman" w:cstheme="minorHAnsi"/>
                <w:b/>
                <w:sz w:val="20"/>
                <w:szCs w:val="20"/>
              </w:rPr>
            </w:pPr>
          </w:p>
        </w:tc>
        <w:tc>
          <w:tcPr>
            <w:tcW w:w="2180" w:type="dxa"/>
          </w:tcPr>
          <w:p w14:paraId="40C98509" w14:textId="77777777" w:rsidR="00DA54F3" w:rsidRPr="001B02FE" w:rsidRDefault="00DA54F3" w:rsidP="00A535DB">
            <w:pPr>
              <w:keepNext/>
              <w:tabs>
                <w:tab w:val="decimal" w:pos="1261"/>
              </w:tabs>
              <w:spacing w:after="0" w:line="240" w:lineRule="auto"/>
              <w:jc w:val="center"/>
              <w:outlineLvl w:val="0"/>
              <w:rPr>
                <w:rFonts w:eastAsia="Times New Roman" w:cstheme="minorHAnsi"/>
                <w:bCs/>
                <w:sz w:val="20"/>
                <w:szCs w:val="20"/>
              </w:rPr>
            </w:pPr>
          </w:p>
        </w:tc>
      </w:tr>
      <w:tr w:rsidR="00DA54F3" w:rsidRPr="001B02FE" w14:paraId="465AFC4B" w14:textId="77777777" w:rsidTr="00A535DB">
        <w:trPr>
          <w:cantSplit/>
          <w:trHeight w:val="415"/>
        </w:trPr>
        <w:tc>
          <w:tcPr>
            <w:tcW w:w="6546" w:type="dxa"/>
            <w:shd w:val="clear" w:color="auto" w:fill="auto"/>
          </w:tcPr>
          <w:p w14:paraId="6BA8F2AB"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Expenses not deductible for tax purposes</w:t>
            </w:r>
          </w:p>
          <w:p w14:paraId="4B727E7C"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Unprovided deferred tax asset on losses carried forward</w:t>
            </w:r>
          </w:p>
        </w:tc>
        <w:tc>
          <w:tcPr>
            <w:tcW w:w="1622" w:type="dxa"/>
            <w:shd w:val="clear" w:color="auto" w:fill="auto"/>
          </w:tcPr>
          <w:p w14:paraId="026B3856"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bCs/>
                <w:sz w:val="20"/>
                <w:szCs w:val="20"/>
              </w:rPr>
            </w:pPr>
            <w:r w:rsidRPr="001B02FE">
              <w:rPr>
                <w:rFonts w:eastAsia="Times New Roman" w:cstheme="minorHAnsi"/>
                <w:b/>
                <w:bCs/>
                <w:sz w:val="20"/>
                <w:szCs w:val="20"/>
              </w:rPr>
              <w:t>(6)</w:t>
            </w:r>
          </w:p>
          <w:p w14:paraId="665CF430"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bCs/>
                <w:sz w:val="20"/>
                <w:szCs w:val="20"/>
              </w:rPr>
            </w:pPr>
            <w:r w:rsidRPr="001B02FE">
              <w:rPr>
                <w:rFonts w:eastAsia="Times New Roman" w:cstheme="minorHAnsi"/>
                <w:b/>
                <w:bCs/>
                <w:sz w:val="20"/>
                <w:szCs w:val="20"/>
              </w:rPr>
              <w:t>(1,482)</w:t>
            </w:r>
          </w:p>
        </w:tc>
        <w:tc>
          <w:tcPr>
            <w:tcW w:w="2180" w:type="dxa"/>
          </w:tcPr>
          <w:p w14:paraId="1710B114" w14:textId="77777777" w:rsidR="00DA54F3" w:rsidRPr="001B02FE" w:rsidRDefault="00DA54F3" w:rsidP="00A535DB">
            <w:pPr>
              <w:keepNext/>
              <w:tabs>
                <w:tab w:val="decimal" w:pos="1402"/>
              </w:tabs>
              <w:spacing w:after="0" w:line="240" w:lineRule="auto"/>
              <w:ind w:right="-160"/>
              <w:jc w:val="center"/>
              <w:outlineLvl w:val="0"/>
              <w:rPr>
                <w:rFonts w:eastAsia="Times New Roman" w:cstheme="minorHAnsi"/>
                <w:bCs/>
                <w:sz w:val="20"/>
                <w:szCs w:val="20"/>
              </w:rPr>
            </w:pPr>
            <w:r w:rsidRPr="001B02FE">
              <w:rPr>
                <w:rFonts w:eastAsia="Times New Roman" w:cstheme="minorHAnsi"/>
                <w:bCs/>
                <w:sz w:val="20"/>
                <w:szCs w:val="20"/>
              </w:rPr>
              <w:t>(7)</w:t>
            </w:r>
          </w:p>
          <w:p w14:paraId="76661C5C" w14:textId="77777777" w:rsidR="00DA54F3" w:rsidRPr="001B02FE" w:rsidRDefault="00DA54F3" w:rsidP="00A535DB">
            <w:pPr>
              <w:keepNext/>
              <w:tabs>
                <w:tab w:val="decimal" w:pos="1402"/>
              </w:tabs>
              <w:spacing w:after="0" w:line="240" w:lineRule="auto"/>
              <w:ind w:right="-160"/>
              <w:jc w:val="center"/>
              <w:outlineLvl w:val="0"/>
              <w:rPr>
                <w:rFonts w:eastAsia="Times New Roman" w:cstheme="minorHAnsi"/>
                <w:bCs/>
                <w:sz w:val="20"/>
                <w:szCs w:val="20"/>
              </w:rPr>
            </w:pPr>
            <w:r w:rsidRPr="001B02FE">
              <w:rPr>
                <w:rFonts w:eastAsia="Times New Roman" w:cstheme="minorHAnsi"/>
                <w:bCs/>
                <w:sz w:val="20"/>
                <w:szCs w:val="20"/>
              </w:rPr>
              <w:t>(575)</w:t>
            </w:r>
          </w:p>
        </w:tc>
      </w:tr>
      <w:tr w:rsidR="00DA54F3" w:rsidRPr="001B02FE" w14:paraId="7B55163C" w14:textId="77777777" w:rsidTr="00A535DB">
        <w:trPr>
          <w:cantSplit/>
          <w:trHeight w:val="221"/>
        </w:trPr>
        <w:tc>
          <w:tcPr>
            <w:tcW w:w="6546" w:type="dxa"/>
            <w:shd w:val="clear" w:color="auto" w:fill="auto"/>
          </w:tcPr>
          <w:p w14:paraId="2B8DA14A"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Additional deduction for R&amp;D expenditure</w:t>
            </w:r>
          </w:p>
        </w:tc>
        <w:tc>
          <w:tcPr>
            <w:tcW w:w="1622" w:type="dxa"/>
            <w:shd w:val="clear" w:color="auto" w:fill="auto"/>
          </w:tcPr>
          <w:p w14:paraId="737157C4"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bCs/>
                <w:sz w:val="20"/>
                <w:szCs w:val="20"/>
              </w:rPr>
            </w:pPr>
            <w:r w:rsidRPr="001B02FE">
              <w:rPr>
                <w:rFonts w:eastAsia="Times New Roman" w:cstheme="minorHAnsi"/>
                <w:b/>
                <w:bCs/>
                <w:sz w:val="20"/>
                <w:szCs w:val="20"/>
              </w:rPr>
              <w:t>98</w:t>
            </w:r>
          </w:p>
        </w:tc>
        <w:tc>
          <w:tcPr>
            <w:tcW w:w="2180" w:type="dxa"/>
          </w:tcPr>
          <w:p w14:paraId="5E40E9C5" w14:textId="77777777" w:rsidR="00DA54F3" w:rsidRPr="001B02FE" w:rsidRDefault="00DA54F3" w:rsidP="00A535DB">
            <w:pPr>
              <w:keepNext/>
              <w:tabs>
                <w:tab w:val="decimal" w:pos="1402"/>
              </w:tabs>
              <w:spacing w:after="0" w:line="240" w:lineRule="auto"/>
              <w:ind w:right="-160"/>
              <w:jc w:val="center"/>
              <w:outlineLvl w:val="0"/>
              <w:rPr>
                <w:rFonts w:eastAsia="Times New Roman" w:cstheme="minorHAnsi"/>
                <w:bCs/>
                <w:sz w:val="20"/>
                <w:szCs w:val="20"/>
              </w:rPr>
            </w:pPr>
            <w:r w:rsidRPr="001B02FE">
              <w:rPr>
                <w:rFonts w:eastAsia="Times New Roman" w:cstheme="minorHAnsi"/>
                <w:bCs/>
                <w:sz w:val="20"/>
                <w:szCs w:val="20"/>
              </w:rPr>
              <w:t>(34)</w:t>
            </w:r>
          </w:p>
        </w:tc>
      </w:tr>
      <w:tr w:rsidR="00DA54F3" w:rsidRPr="001B02FE" w14:paraId="300AF96D" w14:textId="77777777" w:rsidTr="00A535DB">
        <w:trPr>
          <w:cantSplit/>
          <w:trHeight w:val="207"/>
        </w:trPr>
        <w:tc>
          <w:tcPr>
            <w:tcW w:w="6546" w:type="dxa"/>
            <w:shd w:val="clear" w:color="auto" w:fill="auto"/>
          </w:tcPr>
          <w:p w14:paraId="0A42FCAD"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Share scheme deduction</w:t>
            </w:r>
          </w:p>
        </w:tc>
        <w:tc>
          <w:tcPr>
            <w:tcW w:w="1622" w:type="dxa"/>
            <w:shd w:val="clear" w:color="auto" w:fill="auto"/>
          </w:tcPr>
          <w:p w14:paraId="46E43C82"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(33)</w:t>
            </w:r>
          </w:p>
        </w:tc>
        <w:tc>
          <w:tcPr>
            <w:tcW w:w="2180" w:type="dxa"/>
          </w:tcPr>
          <w:p w14:paraId="3CF221E4" w14:textId="77777777" w:rsidR="00DA54F3" w:rsidRPr="001B02FE" w:rsidRDefault="00DA54F3" w:rsidP="00A535DB">
            <w:pPr>
              <w:keepNext/>
              <w:tabs>
                <w:tab w:val="decimal" w:pos="1402"/>
              </w:tabs>
              <w:spacing w:after="0" w:line="240" w:lineRule="auto"/>
              <w:ind w:right="-160"/>
              <w:jc w:val="center"/>
              <w:outlineLvl w:val="0"/>
              <w:rPr>
                <w:rFonts w:eastAsia="Times New Roman" w:cstheme="minorHAnsi"/>
                <w:bCs/>
                <w:sz w:val="20"/>
                <w:szCs w:val="20"/>
              </w:rPr>
            </w:pPr>
            <w:r w:rsidRPr="001B02FE">
              <w:rPr>
                <w:rFonts w:eastAsia="Times New Roman" w:cstheme="minorHAnsi"/>
                <w:bCs/>
                <w:sz w:val="20"/>
                <w:szCs w:val="20"/>
              </w:rPr>
              <w:t>(147)</w:t>
            </w:r>
          </w:p>
        </w:tc>
      </w:tr>
      <w:tr w:rsidR="00DA54F3" w:rsidRPr="001B02FE" w14:paraId="00BFEDB8" w14:textId="77777777" w:rsidTr="00A535DB">
        <w:trPr>
          <w:cantSplit/>
          <w:trHeight w:val="207"/>
        </w:trPr>
        <w:tc>
          <w:tcPr>
            <w:tcW w:w="6546" w:type="dxa"/>
            <w:shd w:val="clear" w:color="auto" w:fill="auto"/>
          </w:tcPr>
          <w:p w14:paraId="300F9D05"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 xml:space="preserve">Effect of changes in tax rate </w:t>
            </w:r>
          </w:p>
        </w:tc>
        <w:tc>
          <w:tcPr>
            <w:tcW w:w="1622" w:type="dxa"/>
            <w:shd w:val="clear" w:color="auto" w:fill="auto"/>
          </w:tcPr>
          <w:p w14:paraId="62079B29"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(100)</w:t>
            </w:r>
          </w:p>
        </w:tc>
        <w:tc>
          <w:tcPr>
            <w:tcW w:w="2180" w:type="dxa"/>
          </w:tcPr>
          <w:p w14:paraId="58D865A2" w14:textId="77777777" w:rsidR="00DA54F3" w:rsidRPr="001B02FE" w:rsidRDefault="00DA54F3" w:rsidP="00A535DB">
            <w:pPr>
              <w:keepNext/>
              <w:tabs>
                <w:tab w:val="decimal" w:pos="1402"/>
              </w:tabs>
              <w:spacing w:after="0" w:line="240" w:lineRule="auto"/>
              <w:ind w:right="-160"/>
              <w:jc w:val="center"/>
              <w:outlineLvl w:val="0"/>
              <w:rPr>
                <w:rFonts w:eastAsia="Times New Roman" w:cstheme="minorHAnsi"/>
                <w:bCs/>
                <w:sz w:val="20"/>
                <w:szCs w:val="20"/>
              </w:rPr>
            </w:pPr>
            <w:r w:rsidRPr="001B02FE">
              <w:rPr>
                <w:rFonts w:eastAsia="Times New Roman" w:cstheme="minorHAnsi"/>
                <w:bCs/>
                <w:sz w:val="20"/>
                <w:szCs w:val="20"/>
              </w:rPr>
              <w:t>(31)</w:t>
            </w:r>
          </w:p>
        </w:tc>
      </w:tr>
      <w:tr w:rsidR="00DA54F3" w:rsidRPr="001B02FE" w14:paraId="419F276B" w14:textId="77777777" w:rsidTr="00A535DB">
        <w:trPr>
          <w:cantSplit/>
          <w:trHeight w:val="221"/>
        </w:trPr>
        <w:tc>
          <w:tcPr>
            <w:tcW w:w="6546" w:type="dxa"/>
            <w:shd w:val="clear" w:color="auto" w:fill="auto"/>
          </w:tcPr>
          <w:p w14:paraId="5E0F549A"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Adjustment in respect of prior periods</w:t>
            </w:r>
          </w:p>
        </w:tc>
        <w:tc>
          <w:tcPr>
            <w:tcW w:w="1622" w:type="dxa"/>
            <w:shd w:val="clear" w:color="auto" w:fill="auto"/>
          </w:tcPr>
          <w:p w14:paraId="0D2D90F6"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w:t>
            </w:r>
          </w:p>
        </w:tc>
        <w:tc>
          <w:tcPr>
            <w:tcW w:w="2180" w:type="dxa"/>
          </w:tcPr>
          <w:p w14:paraId="281ED35C" w14:textId="77777777" w:rsidR="00DA54F3" w:rsidRPr="001B02FE" w:rsidRDefault="00DA54F3" w:rsidP="00A535DB">
            <w:pPr>
              <w:keepNext/>
              <w:tabs>
                <w:tab w:val="decimal" w:pos="1402"/>
              </w:tabs>
              <w:spacing w:after="0" w:line="240" w:lineRule="auto"/>
              <w:ind w:right="-160"/>
              <w:jc w:val="center"/>
              <w:outlineLvl w:val="0"/>
              <w:rPr>
                <w:rFonts w:eastAsia="Times New Roman" w:cstheme="minorHAnsi"/>
                <w:bCs/>
                <w:sz w:val="20"/>
                <w:szCs w:val="20"/>
              </w:rPr>
            </w:pPr>
            <w:r w:rsidRPr="001B02FE">
              <w:rPr>
                <w:rFonts w:eastAsia="Times New Roman" w:cstheme="minorHAnsi"/>
                <w:bCs/>
                <w:sz w:val="20"/>
                <w:szCs w:val="20"/>
              </w:rPr>
              <w:t>(229)</w:t>
            </w:r>
          </w:p>
        </w:tc>
      </w:tr>
      <w:tr w:rsidR="00DA54F3" w:rsidRPr="001B02FE" w14:paraId="71F9B1D0" w14:textId="77777777" w:rsidTr="00A535DB">
        <w:trPr>
          <w:cantSplit/>
          <w:trHeight w:val="207"/>
        </w:trPr>
        <w:tc>
          <w:tcPr>
            <w:tcW w:w="6546" w:type="dxa"/>
            <w:shd w:val="clear" w:color="auto" w:fill="auto"/>
          </w:tcPr>
          <w:p w14:paraId="11B81A27"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Other</w:t>
            </w:r>
          </w:p>
        </w:tc>
        <w:tc>
          <w:tcPr>
            <w:tcW w:w="1622" w:type="dxa"/>
            <w:shd w:val="clear" w:color="auto" w:fill="auto"/>
          </w:tcPr>
          <w:p w14:paraId="5ECFFB52" w14:textId="77777777" w:rsidR="00DA54F3" w:rsidRPr="001B02FE" w:rsidRDefault="00DA54F3" w:rsidP="00A535DB">
            <w:pPr>
              <w:keepNext/>
              <w:tabs>
                <w:tab w:val="decimal" w:pos="1402"/>
              </w:tabs>
              <w:spacing w:after="0" w:line="240" w:lineRule="auto"/>
              <w:ind w:right="-160"/>
              <w:jc w:val="both"/>
              <w:outlineLvl w:val="0"/>
              <w:rPr>
                <w:rFonts w:eastAsia="Times New Roman" w:cstheme="minorHAnsi"/>
                <w:b/>
                <w:sz w:val="20"/>
                <w:szCs w:val="20"/>
              </w:rPr>
            </w:pPr>
            <w:r w:rsidRPr="001B02FE">
              <w:rPr>
                <w:rFonts w:eastAsia="Times New Roman" w:cstheme="minorHAnsi"/>
                <w:b/>
                <w:sz w:val="20"/>
                <w:szCs w:val="20"/>
              </w:rPr>
              <w:t>7</w:t>
            </w:r>
          </w:p>
        </w:tc>
        <w:tc>
          <w:tcPr>
            <w:tcW w:w="2180" w:type="dxa"/>
          </w:tcPr>
          <w:p w14:paraId="6BE9589F" w14:textId="77777777" w:rsidR="00DA54F3" w:rsidRPr="001B02FE" w:rsidRDefault="00DA54F3" w:rsidP="00A535DB">
            <w:pPr>
              <w:keepNext/>
              <w:tabs>
                <w:tab w:val="decimal" w:pos="1402"/>
              </w:tabs>
              <w:spacing w:after="0" w:line="240" w:lineRule="auto"/>
              <w:ind w:right="-160"/>
              <w:jc w:val="center"/>
              <w:outlineLvl w:val="0"/>
              <w:rPr>
                <w:rFonts w:eastAsia="Times New Roman" w:cstheme="minorHAnsi"/>
                <w:bCs/>
                <w:sz w:val="20"/>
                <w:szCs w:val="20"/>
              </w:rPr>
            </w:pPr>
            <w:r w:rsidRPr="001B02FE">
              <w:rPr>
                <w:rFonts w:eastAsia="Times New Roman" w:cstheme="minorHAnsi"/>
                <w:bCs/>
                <w:sz w:val="20"/>
                <w:szCs w:val="20"/>
              </w:rPr>
              <w:t>-</w:t>
            </w:r>
          </w:p>
        </w:tc>
      </w:tr>
      <w:tr w:rsidR="00DA54F3" w:rsidRPr="001B02FE" w14:paraId="3C4DA2DE" w14:textId="77777777" w:rsidTr="00A535DB">
        <w:trPr>
          <w:cantSplit/>
          <w:trHeight w:val="261"/>
        </w:trPr>
        <w:tc>
          <w:tcPr>
            <w:tcW w:w="6546" w:type="dxa"/>
            <w:tcBorders>
              <w:top w:val="single" w:sz="4" w:space="0" w:color="auto"/>
              <w:bottom w:val="single" w:sz="12" w:space="0" w:color="auto"/>
            </w:tcBorders>
            <w:vAlign w:val="center"/>
          </w:tcPr>
          <w:p w14:paraId="132761B1" w14:textId="77777777" w:rsidR="00DA54F3" w:rsidRPr="001B02FE" w:rsidRDefault="00DA54F3" w:rsidP="00A535DB">
            <w:pPr>
              <w:spacing w:after="0" w:line="240" w:lineRule="auto"/>
              <w:rPr>
                <w:rFonts w:eastAsia="Times New Roman" w:cstheme="minorHAnsi"/>
                <w:b/>
                <w:sz w:val="20"/>
                <w:szCs w:val="20"/>
              </w:rPr>
            </w:pPr>
            <w:r w:rsidRPr="001B02FE">
              <w:rPr>
                <w:rFonts w:eastAsia="Times New Roman" w:cstheme="minorHAnsi"/>
                <w:b/>
                <w:sz w:val="20"/>
                <w:szCs w:val="20"/>
              </w:rPr>
              <w:t>Total tax credit for the period</w:t>
            </w:r>
          </w:p>
        </w:tc>
        <w:tc>
          <w:tcPr>
            <w:tcW w:w="1622" w:type="dxa"/>
            <w:tcBorders>
              <w:top w:val="single" w:sz="4" w:space="0" w:color="auto"/>
              <w:bottom w:val="single" w:sz="12" w:space="0" w:color="auto"/>
            </w:tcBorders>
            <w:shd w:val="clear" w:color="auto" w:fill="auto"/>
            <w:vAlign w:val="center"/>
          </w:tcPr>
          <w:p w14:paraId="68DB70C8" w14:textId="77777777" w:rsidR="00DA54F3" w:rsidRPr="001B02FE" w:rsidRDefault="00DA54F3" w:rsidP="00A535DB">
            <w:pPr>
              <w:keepNext/>
              <w:tabs>
                <w:tab w:val="decimal" w:pos="1402"/>
              </w:tabs>
              <w:spacing w:after="0" w:line="240" w:lineRule="auto"/>
              <w:ind w:right="2"/>
              <w:jc w:val="right"/>
              <w:outlineLvl w:val="0"/>
              <w:rPr>
                <w:rFonts w:eastAsia="Times New Roman" w:cstheme="minorHAnsi"/>
                <w:b/>
                <w:bCs/>
                <w:sz w:val="20"/>
                <w:szCs w:val="20"/>
              </w:rPr>
            </w:pPr>
            <w:r w:rsidRPr="001B02FE">
              <w:rPr>
                <w:rFonts w:eastAsia="Times New Roman" w:cstheme="minorHAnsi"/>
                <w:b/>
                <w:bCs/>
                <w:sz w:val="20"/>
                <w:szCs w:val="20"/>
              </w:rPr>
              <w:t>(554)</w:t>
            </w:r>
          </w:p>
        </w:tc>
        <w:tc>
          <w:tcPr>
            <w:tcW w:w="2180" w:type="dxa"/>
            <w:tcBorders>
              <w:top w:val="single" w:sz="4" w:space="0" w:color="auto"/>
              <w:bottom w:val="single" w:sz="12" w:space="0" w:color="auto"/>
            </w:tcBorders>
            <w:vAlign w:val="center"/>
          </w:tcPr>
          <w:p w14:paraId="45828C50" w14:textId="77777777" w:rsidR="00DA54F3" w:rsidRPr="001B02FE" w:rsidRDefault="00DA54F3" w:rsidP="00A535DB">
            <w:pPr>
              <w:keepNext/>
              <w:tabs>
                <w:tab w:val="decimal" w:pos="1402"/>
              </w:tabs>
              <w:spacing w:after="0" w:line="240" w:lineRule="auto"/>
              <w:ind w:right="2"/>
              <w:jc w:val="center"/>
              <w:outlineLvl w:val="0"/>
              <w:rPr>
                <w:rFonts w:eastAsia="Times New Roman" w:cstheme="minorHAnsi"/>
                <w:bCs/>
                <w:sz w:val="20"/>
                <w:szCs w:val="20"/>
              </w:rPr>
            </w:pPr>
            <w:r w:rsidRPr="001B02FE">
              <w:rPr>
                <w:rFonts w:eastAsia="Times New Roman" w:cstheme="minorHAnsi"/>
                <w:bCs/>
                <w:sz w:val="20"/>
                <w:szCs w:val="20"/>
              </w:rPr>
              <w:t>115</w:t>
            </w:r>
          </w:p>
        </w:tc>
      </w:tr>
    </w:tbl>
    <w:p w14:paraId="096DF545" w14:textId="77777777" w:rsidR="00DA54F3" w:rsidRPr="001B02FE" w:rsidRDefault="00DA54F3" w:rsidP="00DA54F3">
      <w:pPr>
        <w:tabs>
          <w:tab w:val="left" w:pos="567"/>
          <w:tab w:val="decimal" w:pos="5940"/>
          <w:tab w:val="decimal" w:pos="7920"/>
        </w:tabs>
        <w:spacing w:after="0" w:line="240" w:lineRule="auto"/>
        <w:jc w:val="both"/>
        <w:rPr>
          <w:rFonts w:eastAsia="Times New Roman" w:cstheme="minorHAnsi"/>
          <w:sz w:val="20"/>
          <w:szCs w:val="20"/>
        </w:rPr>
      </w:pPr>
    </w:p>
    <w:p w14:paraId="5A670AA4" w14:textId="77777777" w:rsidR="00DA54F3" w:rsidRPr="001B02FE" w:rsidRDefault="00DA54F3" w:rsidP="00DA54F3">
      <w:pPr>
        <w:spacing w:after="0" w:line="240" w:lineRule="auto"/>
        <w:jc w:val="both"/>
        <w:rPr>
          <w:rFonts w:eastAsia="Times New Roman" w:cstheme="minorHAnsi"/>
          <w:b/>
          <w:bCs/>
          <w:sz w:val="20"/>
          <w:szCs w:val="20"/>
        </w:rPr>
      </w:pPr>
    </w:p>
    <w:p w14:paraId="3E1026B8" w14:textId="77777777" w:rsidR="00DA54F3" w:rsidRPr="001B02FE" w:rsidRDefault="00DA54F3" w:rsidP="00DA54F3">
      <w:pPr>
        <w:spacing w:after="0" w:line="240" w:lineRule="auto"/>
        <w:jc w:val="both"/>
        <w:rPr>
          <w:rFonts w:eastAsia="Times New Roman" w:cstheme="minorHAnsi"/>
          <w:b/>
          <w:bCs/>
          <w:sz w:val="20"/>
          <w:szCs w:val="20"/>
        </w:rPr>
      </w:pPr>
      <w:r w:rsidRPr="001B02FE">
        <w:rPr>
          <w:rFonts w:eastAsia="Times New Roman" w:cstheme="minorHAnsi"/>
          <w:b/>
          <w:bCs/>
          <w:sz w:val="20"/>
          <w:szCs w:val="20"/>
        </w:rPr>
        <w:t>Tax on each component of other comprehensive income is as follows</w:t>
      </w:r>
    </w:p>
    <w:p w14:paraId="0CAA4553" w14:textId="77777777" w:rsidR="00DA54F3" w:rsidRPr="001B02FE" w:rsidRDefault="00DA54F3" w:rsidP="00DA54F3">
      <w:pPr>
        <w:spacing w:after="0" w:line="240" w:lineRule="auto"/>
        <w:jc w:val="both"/>
        <w:rPr>
          <w:rFonts w:eastAsia="Times New Roman" w:cstheme="minorHAnsi"/>
          <w:b/>
          <w:bCs/>
          <w:sz w:val="20"/>
          <w:szCs w:val="20"/>
        </w:rPr>
      </w:pPr>
    </w:p>
    <w:tbl>
      <w:tblPr>
        <w:tblW w:w="9500" w:type="dxa"/>
        <w:tblLook w:val="04A0" w:firstRow="1" w:lastRow="0" w:firstColumn="1" w:lastColumn="0" w:noHBand="0" w:noVBand="1"/>
      </w:tblPr>
      <w:tblGrid>
        <w:gridCol w:w="4440"/>
        <w:gridCol w:w="900"/>
        <w:gridCol w:w="900"/>
        <w:gridCol w:w="780"/>
        <w:gridCol w:w="1002"/>
        <w:gridCol w:w="688"/>
        <w:gridCol w:w="790"/>
      </w:tblGrid>
      <w:tr w:rsidR="00DA54F3" w:rsidRPr="001B02FE" w14:paraId="71E09936" w14:textId="77777777" w:rsidTr="00A535DB">
        <w:trPr>
          <w:trHeight w:val="290"/>
        </w:trPr>
        <w:tc>
          <w:tcPr>
            <w:tcW w:w="4440" w:type="dxa"/>
            <w:tcBorders>
              <w:top w:val="nil"/>
              <w:left w:val="nil"/>
              <w:bottom w:val="nil"/>
              <w:right w:val="nil"/>
            </w:tcBorders>
            <w:shd w:val="clear" w:color="000000" w:fill="FFFFFF"/>
            <w:noWrap/>
            <w:vAlign w:val="bottom"/>
            <w:hideMark/>
          </w:tcPr>
          <w:p w14:paraId="7B324AE1"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00" w:type="dxa"/>
            <w:tcBorders>
              <w:top w:val="nil"/>
              <w:left w:val="nil"/>
              <w:bottom w:val="nil"/>
              <w:right w:val="nil"/>
            </w:tcBorders>
            <w:shd w:val="clear" w:color="auto" w:fill="auto"/>
            <w:noWrap/>
            <w:vAlign w:val="bottom"/>
            <w:hideMark/>
          </w:tcPr>
          <w:p w14:paraId="536F8FC0" w14:textId="77777777" w:rsidR="00DA54F3" w:rsidRPr="001B02FE" w:rsidRDefault="00DA54F3" w:rsidP="00A535DB">
            <w:pPr>
              <w:spacing w:after="0" w:line="240" w:lineRule="auto"/>
              <w:rPr>
                <w:rFonts w:eastAsia="Times New Roman" w:cstheme="minorHAnsi"/>
                <w:color w:val="000000"/>
                <w:sz w:val="20"/>
                <w:szCs w:val="20"/>
                <w:lang w:eastAsia="en-GB"/>
              </w:rPr>
            </w:pPr>
          </w:p>
        </w:tc>
        <w:tc>
          <w:tcPr>
            <w:tcW w:w="900" w:type="dxa"/>
            <w:tcBorders>
              <w:top w:val="nil"/>
              <w:left w:val="nil"/>
              <w:bottom w:val="nil"/>
              <w:right w:val="nil"/>
            </w:tcBorders>
            <w:shd w:val="clear" w:color="auto" w:fill="auto"/>
            <w:noWrap/>
            <w:vAlign w:val="bottom"/>
            <w:hideMark/>
          </w:tcPr>
          <w:p w14:paraId="79EA95E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2019</w:t>
            </w:r>
          </w:p>
        </w:tc>
        <w:tc>
          <w:tcPr>
            <w:tcW w:w="780" w:type="dxa"/>
            <w:tcBorders>
              <w:top w:val="nil"/>
              <w:left w:val="nil"/>
              <w:bottom w:val="nil"/>
              <w:right w:val="nil"/>
            </w:tcBorders>
            <w:shd w:val="clear" w:color="auto" w:fill="auto"/>
            <w:noWrap/>
            <w:vAlign w:val="bottom"/>
            <w:hideMark/>
          </w:tcPr>
          <w:p w14:paraId="3784F6D6"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p>
        </w:tc>
        <w:tc>
          <w:tcPr>
            <w:tcW w:w="2480" w:type="dxa"/>
            <w:gridSpan w:val="3"/>
            <w:tcBorders>
              <w:top w:val="nil"/>
              <w:left w:val="nil"/>
              <w:bottom w:val="nil"/>
              <w:right w:val="nil"/>
            </w:tcBorders>
            <w:shd w:val="clear" w:color="000000" w:fill="FFFFFF"/>
            <w:noWrap/>
            <w:vAlign w:val="center"/>
            <w:hideMark/>
          </w:tcPr>
          <w:p w14:paraId="02FE53C7"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2018</w:t>
            </w:r>
          </w:p>
        </w:tc>
      </w:tr>
      <w:tr w:rsidR="00DA54F3" w:rsidRPr="001B02FE" w14:paraId="36954D06" w14:textId="77777777" w:rsidTr="00A535DB">
        <w:trPr>
          <w:trHeight w:val="580"/>
        </w:trPr>
        <w:tc>
          <w:tcPr>
            <w:tcW w:w="4440" w:type="dxa"/>
            <w:tcBorders>
              <w:top w:val="nil"/>
              <w:left w:val="nil"/>
              <w:bottom w:val="nil"/>
              <w:right w:val="nil"/>
            </w:tcBorders>
            <w:shd w:val="clear" w:color="000000" w:fill="FFFFFF"/>
            <w:noWrap/>
            <w:vAlign w:val="bottom"/>
            <w:hideMark/>
          </w:tcPr>
          <w:p w14:paraId="506294FE"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00" w:type="dxa"/>
            <w:tcBorders>
              <w:top w:val="nil"/>
              <w:left w:val="nil"/>
              <w:bottom w:val="nil"/>
              <w:right w:val="nil"/>
            </w:tcBorders>
            <w:shd w:val="clear" w:color="000000" w:fill="FFFFFF"/>
            <w:vAlign w:val="center"/>
            <w:hideMark/>
          </w:tcPr>
          <w:p w14:paraId="70FAC616"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Before tax</w:t>
            </w:r>
          </w:p>
        </w:tc>
        <w:tc>
          <w:tcPr>
            <w:tcW w:w="900" w:type="dxa"/>
            <w:tcBorders>
              <w:top w:val="nil"/>
              <w:left w:val="nil"/>
              <w:bottom w:val="nil"/>
              <w:right w:val="nil"/>
            </w:tcBorders>
            <w:shd w:val="clear" w:color="000000" w:fill="FFFFFF"/>
            <w:noWrap/>
            <w:vAlign w:val="center"/>
            <w:hideMark/>
          </w:tcPr>
          <w:p w14:paraId="5F8E36D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Tax</w:t>
            </w:r>
          </w:p>
        </w:tc>
        <w:tc>
          <w:tcPr>
            <w:tcW w:w="780" w:type="dxa"/>
            <w:tcBorders>
              <w:top w:val="nil"/>
              <w:left w:val="nil"/>
              <w:bottom w:val="nil"/>
              <w:right w:val="nil"/>
            </w:tcBorders>
            <w:shd w:val="clear" w:color="000000" w:fill="FFFFFF"/>
            <w:vAlign w:val="center"/>
            <w:hideMark/>
          </w:tcPr>
          <w:p w14:paraId="6DDA07CE"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After tax</w:t>
            </w:r>
          </w:p>
        </w:tc>
        <w:tc>
          <w:tcPr>
            <w:tcW w:w="1002" w:type="dxa"/>
            <w:tcBorders>
              <w:top w:val="nil"/>
              <w:left w:val="nil"/>
              <w:bottom w:val="nil"/>
              <w:right w:val="nil"/>
            </w:tcBorders>
            <w:shd w:val="clear" w:color="000000" w:fill="FFFFFF"/>
            <w:vAlign w:val="center"/>
            <w:hideMark/>
          </w:tcPr>
          <w:p w14:paraId="606A4AC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Before tax</w:t>
            </w:r>
          </w:p>
        </w:tc>
        <w:tc>
          <w:tcPr>
            <w:tcW w:w="688" w:type="dxa"/>
            <w:tcBorders>
              <w:top w:val="nil"/>
              <w:left w:val="nil"/>
              <w:bottom w:val="nil"/>
              <w:right w:val="nil"/>
            </w:tcBorders>
            <w:shd w:val="clear" w:color="000000" w:fill="FFFFFF"/>
            <w:noWrap/>
            <w:vAlign w:val="center"/>
            <w:hideMark/>
          </w:tcPr>
          <w:p w14:paraId="68C4296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Tax</w:t>
            </w:r>
          </w:p>
        </w:tc>
        <w:tc>
          <w:tcPr>
            <w:tcW w:w="790" w:type="dxa"/>
            <w:tcBorders>
              <w:top w:val="nil"/>
              <w:left w:val="nil"/>
              <w:bottom w:val="nil"/>
              <w:right w:val="nil"/>
            </w:tcBorders>
            <w:shd w:val="clear" w:color="000000" w:fill="FFFFFF"/>
            <w:vAlign w:val="center"/>
            <w:hideMark/>
          </w:tcPr>
          <w:p w14:paraId="4874740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After tax</w:t>
            </w:r>
          </w:p>
        </w:tc>
      </w:tr>
      <w:tr w:rsidR="00DA54F3" w:rsidRPr="001B02FE" w14:paraId="71AA23AF" w14:textId="77777777" w:rsidTr="00A535DB">
        <w:trPr>
          <w:trHeight w:val="290"/>
        </w:trPr>
        <w:tc>
          <w:tcPr>
            <w:tcW w:w="4440" w:type="dxa"/>
            <w:tcBorders>
              <w:top w:val="nil"/>
              <w:left w:val="nil"/>
              <w:bottom w:val="single" w:sz="4" w:space="0" w:color="auto"/>
              <w:right w:val="nil"/>
            </w:tcBorders>
            <w:shd w:val="clear" w:color="000000" w:fill="FFFFFF"/>
            <w:noWrap/>
            <w:vAlign w:val="bottom"/>
            <w:hideMark/>
          </w:tcPr>
          <w:p w14:paraId="18B8B666"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00" w:type="dxa"/>
            <w:tcBorders>
              <w:top w:val="nil"/>
              <w:left w:val="nil"/>
              <w:bottom w:val="single" w:sz="4" w:space="0" w:color="auto"/>
              <w:right w:val="nil"/>
            </w:tcBorders>
            <w:shd w:val="clear" w:color="000000" w:fill="FFFFFF"/>
            <w:noWrap/>
            <w:vAlign w:val="center"/>
            <w:hideMark/>
          </w:tcPr>
          <w:p w14:paraId="013A2B05"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900" w:type="dxa"/>
            <w:tcBorders>
              <w:top w:val="nil"/>
              <w:left w:val="nil"/>
              <w:bottom w:val="single" w:sz="4" w:space="0" w:color="auto"/>
              <w:right w:val="nil"/>
            </w:tcBorders>
            <w:shd w:val="clear" w:color="000000" w:fill="FFFFFF"/>
            <w:noWrap/>
            <w:vAlign w:val="center"/>
            <w:hideMark/>
          </w:tcPr>
          <w:p w14:paraId="2F9108A1"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780" w:type="dxa"/>
            <w:tcBorders>
              <w:top w:val="nil"/>
              <w:left w:val="nil"/>
              <w:bottom w:val="single" w:sz="4" w:space="0" w:color="auto"/>
              <w:right w:val="nil"/>
            </w:tcBorders>
            <w:shd w:val="clear" w:color="000000" w:fill="FFFFFF"/>
            <w:noWrap/>
            <w:vAlign w:val="center"/>
            <w:hideMark/>
          </w:tcPr>
          <w:p w14:paraId="6A04C99A"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1002" w:type="dxa"/>
            <w:tcBorders>
              <w:top w:val="nil"/>
              <w:left w:val="nil"/>
              <w:bottom w:val="single" w:sz="4" w:space="0" w:color="auto"/>
              <w:right w:val="nil"/>
            </w:tcBorders>
            <w:shd w:val="clear" w:color="000000" w:fill="FFFFFF"/>
            <w:noWrap/>
            <w:vAlign w:val="center"/>
            <w:hideMark/>
          </w:tcPr>
          <w:p w14:paraId="54B6F85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c>
          <w:tcPr>
            <w:tcW w:w="688" w:type="dxa"/>
            <w:tcBorders>
              <w:top w:val="nil"/>
              <w:left w:val="nil"/>
              <w:bottom w:val="single" w:sz="4" w:space="0" w:color="auto"/>
              <w:right w:val="nil"/>
            </w:tcBorders>
            <w:shd w:val="clear" w:color="000000" w:fill="FFFFFF"/>
            <w:noWrap/>
            <w:vAlign w:val="center"/>
            <w:hideMark/>
          </w:tcPr>
          <w:p w14:paraId="0A63010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c>
          <w:tcPr>
            <w:tcW w:w="790" w:type="dxa"/>
            <w:tcBorders>
              <w:top w:val="nil"/>
              <w:left w:val="nil"/>
              <w:bottom w:val="single" w:sz="4" w:space="0" w:color="auto"/>
              <w:right w:val="nil"/>
            </w:tcBorders>
            <w:shd w:val="clear" w:color="000000" w:fill="FFFFFF"/>
            <w:noWrap/>
            <w:vAlign w:val="center"/>
            <w:hideMark/>
          </w:tcPr>
          <w:p w14:paraId="132AF29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r>
      <w:tr w:rsidR="00DA54F3" w:rsidRPr="001B02FE" w14:paraId="767C2330" w14:textId="77777777" w:rsidTr="00A535DB">
        <w:trPr>
          <w:trHeight w:val="290"/>
        </w:trPr>
        <w:tc>
          <w:tcPr>
            <w:tcW w:w="4440" w:type="dxa"/>
            <w:tcBorders>
              <w:top w:val="nil"/>
              <w:left w:val="nil"/>
              <w:bottom w:val="nil"/>
              <w:right w:val="nil"/>
            </w:tcBorders>
            <w:shd w:val="clear" w:color="000000" w:fill="FFFFFF"/>
            <w:noWrap/>
            <w:vAlign w:val="center"/>
            <w:hideMark/>
          </w:tcPr>
          <w:p w14:paraId="2727E8B0" w14:textId="4D66FE75" w:rsidR="00DA54F3" w:rsidRPr="001B02FE" w:rsidRDefault="00DA54F3" w:rsidP="00A535DB">
            <w:pPr>
              <w:spacing w:after="0" w:line="240" w:lineRule="auto"/>
              <w:rPr>
                <w:rFonts w:eastAsia="Times New Roman" w:cstheme="minorHAnsi"/>
                <w:color w:val="000000"/>
                <w:sz w:val="20"/>
                <w:szCs w:val="20"/>
                <w:lang w:eastAsia="en-GB"/>
              </w:rPr>
            </w:pPr>
          </w:p>
        </w:tc>
        <w:tc>
          <w:tcPr>
            <w:tcW w:w="900" w:type="dxa"/>
            <w:tcBorders>
              <w:top w:val="nil"/>
              <w:left w:val="nil"/>
              <w:bottom w:val="nil"/>
              <w:right w:val="nil"/>
            </w:tcBorders>
            <w:shd w:val="clear" w:color="000000" w:fill="FFFFFF"/>
            <w:noWrap/>
            <w:vAlign w:val="bottom"/>
            <w:hideMark/>
          </w:tcPr>
          <w:p w14:paraId="4116620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00" w:type="dxa"/>
            <w:tcBorders>
              <w:top w:val="nil"/>
              <w:left w:val="nil"/>
              <w:bottom w:val="nil"/>
              <w:right w:val="nil"/>
            </w:tcBorders>
            <w:shd w:val="clear" w:color="000000" w:fill="FFFFFF"/>
            <w:noWrap/>
            <w:vAlign w:val="bottom"/>
            <w:hideMark/>
          </w:tcPr>
          <w:p w14:paraId="12BAB7C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780" w:type="dxa"/>
            <w:tcBorders>
              <w:top w:val="nil"/>
              <w:left w:val="nil"/>
              <w:bottom w:val="nil"/>
              <w:right w:val="nil"/>
            </w:tcBorders>
            <w:shd w:val="clear" w:color="000000" w:fill="FFFFFF"/>
            <w:noWrap/>
            <w:vAlign w:val="bottom"/>
            <w:hideMark/>
          </w:tcPr>
          <w:p w14:paraId="2029FB7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002" w:type="dxa"/>
            <w:tcBorders>
              <w:top w:val="nil"/>
              <w:left w:val="nil"/>
              <w:bottom w:val="nil"/>
              <w:right w:val="nil"/>
            </w:tcBorders>
            <w:shd w:val="clear" w:color="000000" w:fill="FFFFFF"/>
            <w:noWrap/>
            <w:vAlign w:val="bottom"/>
            <w:hideMark/>
          </w:tcPr>
          <w:p w14:paraId="05A16685"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688" w:type="dxa"/>
            <w:tcBorders>
              <w:top w:val="nil"/>
              <w:left w:val="nil"/>
              <w:bottom w:val="nil"/>
              <w:right w:val="nil"/>
            </w:tcBorders>
            <w:shd w:val="clear" w:color="000000" w:fill="FFFFFF"/>
            <w:noWrap/>
            <w:vAlign w:val="bottom"/>
            <w:hideMark/>
          </w:tcPr>
          <w:p w14:paraId="1BE69EB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790" w:type="dxa"/>
            <w:tcBorders>
              <w:top w:val="nil"/>
              <w:left w:val="nil"/>
              <w:bottom w:val="nil"/>
              <w:right w:val="nil"/>
            </w:tcBorders>
            <w:shd w:val="clear" w:color="000000" w:fill="FFFFFF"/>
            <w:noWrap/>
            <w:vAlign w:val="bottom"/>
            <w:hideMark/>
          </w:tcPr>
          <w:p w14:paraId="79636DE7"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r>
      <w:tr w:rsidR="00DA54F3" w:rsidRPr="001B02FE" w14:paraId="21131DB9" w14:textId="77777777" w:rsidTr="00A535DB">
        <w:trPr>
          <w:trHeight w:val="430"/>
        </w:trPr>
        <w:tc>
          <w:tcPr>
            <w:tcW w:w="4440" w:type="dxa"/>
            <w:tcBorders>
              <w:top w:val="nil"/>
              <w:left w:val="nil"/>
              <w:bottom w:val="nil"/>
              <w:right w:val="nil"/>
            </w:tcBorders>
            <w:shd w:val="clear" w:color="000000" w:fill="FFFFFF"/>
            <w:vAlign w:val="center"/>
            <w:hideMark/>
          </w:tcPr>
          <w:p w14:paraId="135ED46A" w14:textId="033CB15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xml:space="preserve">Loss recognised on hedging instrument </w:t>
            </w:r>
          </w:p>
        </w:tc>
        <w:tc>
          <w:tcPr>
            <w:tcW w:w="900" w:type="dxa"/>
            <w:tcBorders>
              <w:top w:val="nil"/>
              <w:left w:val="nil"/>
              <w:bottom w:val="nil"/>
              <w:right w:val="nil"/>
            </w:tcBorders>
            <w:shd w:val="clear" w:color="000000" w:fill="FFFFFF"/>
            <w:noWrap/>
            <w:vAlign w:val="center"/>
            <w:hideMark/>
          </w:tcPr>
          <w:p w14:paraId="3807903E" w14:textId="4A6BFA1F" w:rsidR="00DA54F3" w:rsidRPr="001B02FE" w:rsidRDefault="00294C0A" w:rsidP="00A535DB">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w:t>
            </w:r>
            <w:r w:rsidR="00DA54F3" w:rsidRPr="001B02FE">
              <w:rPr>
                <w:rFonts w:eastAsia="Times New Roman" w:cstheme="minorHAnsi"/>
                <w:b/>
                <w:bCs/>
                <w:color w:val="000000"/>
                <w:sz w:val="20"/>
                <w:szCs w:val="20"/>
                <w:lang w:eastAsia="en-GB"/>
              </w:rPr>
              <w:t>181</w:t>
            </w:r>
            <w:r>
              <w:rPr>
                <w:rFonts w:eastAsia="Times New Roman" w:cstheme="minorHAnsi"/>
                <w:b/>
                <w:bCs/>
                <w:color w:val="000000"/>
                <w:sz w:val="20"/>
                <w:szCs w:val="20"/>
                <w:lang w:eastAsia="en-GB"/>
              </w:rPr>
              <w:t>)</w:t>
            </w:r>
          </w:p>
        </w:tc>
        <w:tc>
          <w:tcPr>
            <w:tcW w:w="900" w:type="dxa"/>
            <w:tcBorders>
              <w:top w:val="nil"/>
              <w:left w:val="nil"/>
              <w:bottom w:val="nil"/>
              <w:right w:val="nil"/>
            </w:tcBorders>
            <w:shd w:val="clear" w:color="000000" w:fill="FFFFFF"/>
            <w:noWrap/>
            <w:vAlign w:val="center"/>
            <w:hideMark/>
          </w:tcPr>
          <w:p w14:paraId="15357B09"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33</w:t>
            </w:r>
          </w:p>
        </w:tc>
        <w:tc>
          <w:tcPr>
            <w:tcW w:w="780" w:type="dxa"/>
            <w:tcBorders>
              <w:top w:val="nil"/>
              <w:left w:val="nil"/>
              <w:bottom w:val="nil"/>
              <w:right w:val="nil"/>
            </w:tcBorders>
            <w:shd w:val="clear" w:color="000000" w:fill="FFFFFF"/>
            <w:noWrap/>
            <w:vAlign w:val="center"/>
            <w:hideMark/>
          </w:tcPr>
          <w:p w14:paraId="3FBDB9F3" w14:textId="2B6754DA" w:rsidR="00DA54F3" w:rsidRPr="001B02FE" w:rsidRDefault="00294C0A" w:rsidP="00A535DB">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w:t>
            </w:r>
            <w:r w:rsidR="00DA54F3" w:rsidRPr="001B02FE">
              <w:rPr>
                <w:rFonts w:eastAsia="Times New Roman" w:cstheme="minorHAnsi"/>
                <w:b/>
                <w:bCs/>
                <w:color w:val="000000"/>
                <w:sz w:val="20"/>
                <w:szCs w:val="20"/>
                <w:lang w:eastAsia="en-GB"/>
              </w:rPr>
              <w:t>148</w:t>
            </w:r>
            <w:r>
              <w:rPr>
                <w:rFonts w:eastAsia="Times New Roman" w:cstheme="minorHAnsi"/>
                <w:b/>
                <w:bCs/>
                <w:color w:val="000000"/>
                <w:sz w:val="20"/>
                <w:szCs w:val="20"/>
                <w:lang w:eastAsia="en-GB"/>
              </w:rPr>
              <w:t>)</w:t>
            </w:r>
          </w:p>
        </w:tc>
        <w:tc>
          <w:tcPr>
            <w:tcW w:w="1002" w:type="dxa"/>
            <w:tcBorders>
              <w:top w:val="nil"/>
              <w:left w:val="nil"/>
              <w:bottom w:val="nil"/>
              <w:right w:val="nil"/>
            </w:tcBorders>
            <w:shd w:val="clear" w:color="000000" w:fill="FFFFFF"/>
            <w:noWrap/>
            <w:vAlign w:val="center"/>
            <w:hideMark/>
          </w:tcPr>
          <w:p w14:paraId="6C93632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688" w:type="dxa"/>
            <w:tcBorders>
              <w:top w:val="nil"/>
              <w:left w:val="nil"/>
              <w:bottom w:val="nil"/>
              <w:right w:val="nil"/>
            </w:tcBorders>
            <w:shd w:val="clear" w:color="000000" w:fill="FFFFFF"/>
            <w:noWrap/>
            <w:vAlign w:val="center"/>
            <w:hideMark/>
          </w:tcPr>
          <w:p w14:paraId="6D500B7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790" w:type="dxa"/>
            <w:tcBorders>
              <w:top w:val="nil"/>
              <w:left w:val="nil"/>
              <w:bottom w:val="nil"/>
              <w:right w:val="nil"/>
            </w:tcBorders>
            <w:shd w:val="clear" w:color="000000" w:fill="FFFFFF"/>
            <w:noWrap/>
            <w:vAlign w:val="center"/>
            <w:hideMark/>
          </w:tcPr>
          <w:p w14:paraId="32D4998A"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w:t>
            </w:r>
          </w:p>
        </w:tc>
      </w:tr>
      <w:tr w:rsidR="00DA54F3" w:rsidRPr="001B02FE" w14:paraId="511A51E8" w14:textId="77777777" w:rsidTr="00A535DB">
        <w:trPr>
          <w:trHeight w:val="570"/>
        </w:trPr>
        <w:tc>
          <w:tcPr>
            <w:tcW w:w="4440" w:type="dxa"/>
            <w:tcBorders>
              <w:top w:val="nil"/>
              <w:left w:val="nil"/>
              <w:bottom w:val="nil"/>
              <w:right w:val="nil"/>
            </w:tcBorders>
            <w:shd w:val="clear" w:color="000000" w:fill="FFFFFF"/>
            <w:vAlign w:val="center"/>
            <w:hideMark/>
          </w:tcPr>
          <w:p w14:paraId="75680CD5"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Exchange gains on the translation of foreign operations</w:t>
            </w:r>
          </w:p>
        </w:tc>
        <w:tc>
          <w:tcPr>
            <w:tcW w:w="900" w:type="dxa"/>
            <w:tcBorders>
              <w:top w:val="nil"/>
              <w:left w:val="nil"/>
              <w:bottom w:val="nil"/>
              <w:right w:val="nil"/>
            </w:tcBorders>
            <w:shd w:val="clear" w:color="000000" w:fill="FFFFFF"/>
            <w:noWrap/>
            <w:vAlign w:val="center"/>
            <w:hideMark/>
          </w:tcPr>
          <w:p w14:paraId="33C14449"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67</w:t>
            </w:r>
          </w:p>
        </w:tc>
        <w:tc>
          <w:tcPr>
            <w:tcW w:w="900" w:type="dxa"/>
            <w:tcBorders>
              <w:top w:val="nil"/>
              <w:left w:val="nil"/>
              <w:bottom w:val="nil"/>
              <w:right w:val="nil"/>
            </w:tcBorders>
            <w:shd w:val="clear" w:color="000000" w:fill="FFFFFF"/>
            <w:noWrap/>
            <w:vAlign w:val="center"/>
            <w:hideMark/>
          </w:tcPr>
          <w:p w14:paraId="1865769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w:t>
            </w:r>
          </w:p>
        </w:tc>
        <w:tc>
          <w:tcPr>
            <w:tcW w:w="780" w:type="dxa"/>
            <w:tcBorders>
              <w:top w:val="nil"/>
              <w:left w:val="nil"/>
              <w:bottom w:val="nil"/>
              <w:right w:val="nil"/>
            </w:tcBorders>
            <w:shd w:val="clear" w:color="000000" w:fill="FFFFFF"/>
            <w:noWrap/>
            <w:vAlign w:val="center"/>
            <w:hideMark/>
          </w:tcPr>
          <w:p w14:paraId="07826E8C"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67</w:t>
            </w:r>
          </w:p>
        </w:tc>
        <w:tc>
          <w:tcPr>
            <w:tcW w:w="1002" w:type="dxa"/>
            <w:tcBorders>
              <w:top w:val="nil"/>
              <w:left w:val="nil"/>
              <w:bottom w:val="nil"/>
              <w:right w:val="nil"/>
            </w:tcBorders>
            <w:shd w:val="clear" w:color="000000" w:fill="FFFFFF"/>
            <w:noWrap/>
            <w:vAlign w:val="center"/>
            <w:hideMark/>
          </w:tcPr>
          <w:p w14:paraId="31D7AA7B" w14:textId="362EF4A8" w:rsidR="00DA54F3" w:rsidRPr="001B02FE" w:rsidRDefault="00294C0A" w:rsidP="00A535D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w:t>
            </w:r>
            <w:r w:rsidR="00DA54F3" w:rsidRPr="001B02FE">
              <w:rPr>
                <w:rFonts w:eastAsia="Times New Roman" w:cstheme="minorHAnsi"/>
                <w:color w:val="000000"/>
                <w:sz w:val="20"/>
                <w:szCs w:val="20"/>
                <w:lang w:eastAsia="en-GB"/>
              </w:rPr>
              <w:t>125</w:t>
            </w:r>
            <w:r>
              <w:rPr>
                <w:rFonts w:eastAsia="Times New Roman" w:cstheme="minorHAnsi"/>
                <w:color w:val="000000"/>
                <w:sz w:val="20"/>
                <w:szCs w:val="20"/>
                <w:lang w:eastAsia="en-GB"/>
              </w:rPr>
              <w:t>)</w:t>
            </w:r>
          </w:p>
        </w:tc>
        <w:tc>
          <w:tcPr>
            <w:tcW w:w="688" w:type="dxa"/>
            <w:tcBorders>
              <w:top w:val="nil"/>
              <w:left w:val="nil"/>
              <w:bottom w:val="nil"/>
              <w:right w:val="nil"/>
            </w:tcBorders>
            <w:shd w:val="clear" w:color="000000" w:fill="FFFFFF"/>
            <w:noWrap/>
            <w:vAlign w:val="center"/>
            <w:hideMark/>
          </w:tcPr>
          <w:p w14:paraId="39B3FE4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790" w:type="dxa"/>
            <w:tcBorders>
              <w:top w:val="nil"/>
              <w:left w:val="nil"/>
              <w:bottom w:val="nil"/>
              <w:right w:val="nil"/>
            </w:tcBorders>
            <w:shd w:val="clear" w:color="000000" w:fill="FFFFFF"/>
            <w:noWrap/>
            <w:vAlign w:val="center"/>
            <w:hideMark/>
          </w:tcPr>
          <w:p w14:paraId="492FFD6E" w14:textId="426C931E" w:rsidR="00DA54F3" w:rsidRPr="001B02FE" w:rsidRDefault="00294C0A" w:rsidP="00A535D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w:t>
            </w:r>
            <w:r w:rsidR="00DA54F3" w:rsidRPr="001B02FE">
              <w:rPr>
                <w:rFonts w:eastAsia="Times New Roman" w:cstheme="minorHAnsi"/>
                <w:color w:val="000000"/>
                <w:sz w:val="20"/>
                <w:szCs w:val="20"/>
                <w:lang w:eastAsia="en-GB"/>
              </w:rPr>
              <w:t>125</w:t>
            </w:r>
            <w:r>
              <w:rPr>
                <w:rFonts w:eastAsia="Times New Roman" w:cstheme="minorHAnsi"/>
                <w:color w:val="000000"/>
                <w:sz w:val="20"/>
                <w:szCs w:val="20"/>
                <w:lang w:eastAsia="en-GB"/>
              </w:rPr>
              <w:t>)</w:t>
            </w:r>
          </w:p>
        </w:tc>
      </w:tr>
      <w:tr w:rsidR="00DA54F3" w:rsidRPr="001B02FE" w14:paraId="6F9D8BB0" w14:textId="77777777" w:rsidTr="00A535DB">
        <w:trPr>
          <w:trHeight w:val="300"/>
        </w:trPr>
        <w:tc>
          <w:tcPr>
            <w:tcW w:w="4440" w:type="dxa"/>
            <w:tcBorders>
              <w:top w:val="single" w:sz="4" w:space="0" w:color="auto"/>
              <w:left w:val="nil"/>
              <w:bottom w:val="single" w:sz="8" w:space="0" w:color="auto"/>
              <w:right w:val="nil"/>
            </w:tcBorders>
            <w:shd w:val="clear" w:color="000000" w:fill="FFFFFF"/>
            <w:vAlign w:val="center"/>
            <w:hideMark/>
          </w:tcPr>
          <w:p w14:paraId="79C50F2A" w14:textId="77777777" w:rsidR="00DA54F3" w:rsidRPr="001B02FE" w:rsidRDefault="00DA54F3" w:rsidP="00A535DB">
            <w:pPr>
              <w:spacing w:after="0" w:line="240" w:lineRule="auto"/>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Total</w:t>
            </w:r>
          </w:p>
        </w:tc>
        <w:tc>
          <w:tcPr>
            <w:tcW w:w="900" w:type="dxa"/>
            <w:tcBorders>
              <w:top w:val="single" w:sz="4" w:space="0" w:color="auto"/>
              <w:left w:val="nil"/>
              <w:bottom w:val="single" w:sz="8" w:space="0" w:color="auto"/>
              <w:right w:val="nil"/>
            </w:tcBorders>
            <w:shd w:val="clear" w:color="000000" w:fill="FFFFFF"/>
            <w:noWrap/>
            <w:vAlign w:val="center"/>
            <w:hideMark/>
          </w:tcPr>
          <w:p w14:paraId="17E3AEF4" w14:textId="5A54C7AE" w:rsidR="00DA54F3" w:rsidRPr="001B02FE" w:rsidRDefault="00294C0A" w:rsidP="001B4A7C">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w:t>
            </w:r>
            <w:r w:rsidR="00DA54F3" w:rsidRPr="001B02FE">
              <w:rPr>
                <w:rFonts w:eastAsia="Times New Roman" w:cstheme="minorHAnsi"/>
                <w:b/>
                <w:bCs/>
                <w:color w:val="000000"/>
                <w:sz w:val="20"/>
                <w:szCs w:val="20"/>
                <w:lang w:eastAsia="en-GB"/>
              </w:rPr>
              <w:t>114</w:t>
            </w:r>
            <w:r>
              <w:rPr>
                <w:rFonts w:eastAsia="Times New Roman" w:cstheme="minorHAnsi"/>
                <w:b/>
                <w:bCs/>
                <w:color w:val="000000"/>
                <w:sz w:val="20"/>
                <w:szCs w:val="20"/>
                <w:lang w:eastAsia="en-GB"/>
              </w:rPr>
              <w:t>)</w:t>
            </w:r>
          </w:p>
        </w:tc>
        <w:tc>
          <w:tcPr>
            <w:tcW w:w="900" w:type="dxa"/>
            <w:tcBorders>
              <w:top w:val="single" w:sz="4" w:space="0" w:color="auto"/>
              <w:left w:val="nil"/>
              <w:bottom w:val="single" w:sz="8" w:space="0" w:color="auto"/>
              <w:right w:val="nil"/>
            </w:tcBorders>
            <w:shd w:val="clear" w:color="000000" w:fill="FFFFFF"/>
            <w:noWrap/>
            <w:vAlign w:val="center"/>
            <w:hideMark/>
          </w:tcPr>
          <w:p w14:paraId="14BB8150"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33</w:t>
            </w:r>
          </w:p>
        </w:tc>
        <w:tc>
          <w:tcPr>
            <w:tcW w:w="780" w:type="dxa"/>
            <w:tcBorders>
              <w:top w:val="single" w:sz="4" w:space="0" w:color="auto"/>
              <w:left w:val="nil"/>
              <w:bottom w:val="single" w:sz="8" w:space="0" w:color="auto"/>
              <w:right w:val="nil"/>
            </w:tcBorders>
            <w:shd w:val="clear" w:color="000000" w:fill="FFFFFF"/>
            <w:noWrap/>
            <w:vAlign w:val="center"/>
            <w:hideMark/>
          </w:tcPr>
          <w:p w14:paraId="785C9627" w14:textId="017D39A1" w:rsidR="00DA54F3" w:rsidRPr="001B02FE" w:rsidRDefault="00294C0A" w:rsidP="00A535DB">
            <w:pPr>
              <w:spacing w:after="0" w:line="240" w:lineRule="auto"/>
              <w:jc w:val="center"/>
              <w:rPr>
                <w:rFonts w:eastAsia="Times New Roman" w:cstheme="minorHAnsi"/>
                <w:b/>
                <w:bCs/>
                <w:color w:val="000000"/>
                <w:sz w:val="20"/>
                <w:szCs w:val="20"/>
                <w:lang w:eastAsia="en-GB"/>
              </w:rPr>
            </w:pPr>
            <w:r>
              <w:rPr>
                <w:rFonts w:eastAsia="Times New Roman" w:cstheme="minorHAnsi"/>
                <w:b/>
                <w:bCs/>
                <w:color w:val="000000"/>
                <w:sz w:val="20"/>
                <w:szCs w:val="20"/>
                <w:lang w:eastAsia="en-GB"/>
              </w:rPr>
              <w:t>(</w:t>
            </w:r>
            <w:r w:rsidR="00DA54F3" w:rsidRPr="001B02FE">
              <w:rPr>
                <w:rFonts w:eastAsia="Times New Roman" w:cstheme="minorHAnsi"/>
                <w:b/>
                <w:bCs/>
                <w:color w:val="000000"/>
                <w:sz w:val="20"/>
                <w:szCs w:val="20"/>
                <w:lang w:eastAsia="en-GB"/>
              </w:rPr>
              <w:t>81</w:t>
            </w:r>
            <w:r>
              <w:rPr>
                <w:rFonts w:eastAsia="Times New Roman" w:cstheme="minorHAnsi"/>
                <w:b/>
                <w:bCs/>
                <w:color w:val="000000"/>
                <w:sz w:val="20"/>
                <w:szCs w:val="20"/>
                <w:lang w:eastAsia="en-GB"/>
              </w:rPr>
              <w:t>)</w:t>
            </w:r>
          </w:p>
        </w:tc>
        <w:tc>
          <w:tcPr>
            <w:tcW w:w="1002" w:type="dxa"/>
            <w:tcBorders>
              <w:top w:val="single" w:sz="4" w:space="0" w:color="auto"/>
              <w:left w:val="nil"/>
              <w:bottom w:val="single" w:sz="8" w:space="0" w:color="auto"/>
              <w:right w:val="nil"/>
            </w:tcBorders>
            <w:shd w:val="clear" w:color="000000" w:fill="FFFFFF"/>
            <w:noWrap/>
            <w:vAlign w:val="center"/>
            <w:hideMark/>
          </w:tcPr>
          <w:p w14:paraId="12F949EF" w14:textId="3C1879AE" w:rsidR="00DA54F3" w:rsidRPr="001B02FE" w:rsidRDefault="00294C0A" w:rsidP="00A535D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w:t>
            </w:r>
            <w:r w:rsidR="00DA54F3" w:rsidRPr="001B02FE">
              <w:rPr>
                <w:rFonts w:eastAsia="Times New Roman" w:cstheme="minorHAnsi"/>
                <w:color w:val="000000"/>
                <w:sz w:val="20"/>
                <w:szCs w:val="20"/>
                <w:lang w:eastAsia="en-GB"/>
              </w:rPr>
              <w:t>125</w:t>
            </w:r>
            <w:r>
              <w:rPr>
                <w:rFonts w:eastAsia="Times New Roman" w:cstheme="minorHAnsi"/>
                <w:color w:val="000000"/>
                <w:sz w:val="20"/>
                <w:szCs w:val="20"/>
                <w:lang w:eastAsia="en-GB"/>
              </w:rPr>
              <w:t>)</w:t>
            </w:r>
          </w:p>
        </w:tc>
        <w:tc>
          <w:tcPr>
            <w:tcW w:w="688" w:type="dxa"/>
            <w:tcBorders>
              <w:top w:val="single" w:sz="4" w:space="0" w:color="auto"/>
              <w:left w:val="nil"/>
              <w:bottom w:val="single" w:sz="8" w:space="0" w:color="auto"/>
              <w:right w:val="nil"/>
            </w:tcBorders>
            <w:shd w:val="clear" w:color="000000" w:fill="FFFFFF"/>
            <w:noWrap/>
            <w:vAlign w:val="center"/>
            <w:hideMark/>
          </w:tcPr>
          <w:p w14:paraId="009621B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790" w:type="dxa"/>
            <w:tcBorders>
              <w:top w:val="single" w:sz="4" w:space="0" w:color="auto"/>
              <w:left w:val="nil"/>
              <w:bottom w:val="single" w:sz="8" w:space="0" w:color="auto"/>
              <w:right w:val="nil"/>
            </w:tcBorders>
            <w:shd w:val="clear" w:color="000000" w:fill="FFFFFF"/>
            <w:noWrap/>
            <w:vAlign w:val="center"/>
            <w:hideMark/>
          </w:tcPr>
          <w:p w14:paraId="1A98B67D" w14:textId="1200D7CA" w:rsidR="00DA54F3" w:rsidRPr="001B02FE" w:rsidRDefault="00294C0A" w:rsidP="00A535DB">
            <w:pPr>
              <w:spacing w:after="0" w:line="240" w:lineRule="auto"/>
              <w:jc w:val="center"/>
              <w:rPr>
                <w:rFonts w:eastAsia="Times New Roman" w:cstheme="minorHAnsi"/>
                <w:color w:val="000000"/>
                <w:sz w:val="20"/>
                <w:szCs w:val="20"/>
                <w:lang w:eastAsia="en-GB"/>
              </w:rPr>
            </w:pPr>
            <w:r>
              <w:rPr>
                <w:rFonts w:eastAsia="Times New Roman" w:cstheme="minorHAnsi"/>
                <w:color w:val="000000"/>
                <w:sz w:val="20"/>
                <w:szCs w:val="20"/>
                <w:lang w:eastAsia="en-GB"/>
              </w:rPr>
              <w:t>(</w:t>
            </w:r>
            <w:r w:rsidR="00DA54F3" w:rsidRPr="001B02FE">
              <w:rPr>
                <w:rFonts w:eastAsia="Times New Roman" w:cstheme="minorHAnsi"/>
                <w:color w:val="000000"/>
                <w:sz w:val="20"/>
                <w:szCs w:val="20"/>
                <w:lang w:eastAsia="en-GB"/>
              </w:rPr>
              <w:t>125</w:t>
            </w:r>
            <w:r>
              <w:rPr>
                <w:rFonts w:eastAsia="Times New Roman" w:cstheme="minorHAnsi"/>
                <w:color w:val="000000"/>
                <w:sz w:val="20"/>
                <w:szCs w:val="20"/>
                <w:lang w:eastAsia="en-GB"/>
              </w:rPr>
              <w:t>)</w:t>
            </w:r>
          </w:p>
        </w:tc>
      </w:tr>
    </w:tbl>
    <w:p w14:paraId="0A04BFB6" w14:textId="77777777" w:rsidR="00DA54F3" w:rsidRPr="001B02FE" w:rsidRDefault="00DA54F3" w:rsidP="00DA54F3">
      <w:pPr>
        <w:spacing w:after="0" w:line="240" w:lineRule="auto"/>
        <w:jc w:val="both"/>
        <w:rPr>
          <w:rFonts w:eastAsia="Times New Roman" w:cstheme="minorHAnsi"/>
          <w:sz w:val="20"/>
          <w:szCs w:val="20"/>
        </w:rPr>
      </w:pPr>
    </w:p>
    <w:p w14:paraId="733B6009" w14:textId="77777777" w:rsidR="00DA54F3" w:rsidRPr="001B02FE" w:rsidRDefault="00DA54F3" w:rsidP="00DA54F3">
      <w:pPr>
        <w:spacing w:after="0" w:line="240" w:lineRule="auto"/>
        <w:jc w:val="both"/>
        <w:rPr>
          <w:rFonts w:eastAsia="Times New Roman" w:cstheme="minorHAnsi"/>
          <w:sz w:val="20"/>
          <w:szCs w:val="20"/>
        </w:rPr>
      </w:pPr>
    </w:p>
    <w:p w14:paraId="47E03EF1" w14:textId="67286C4D"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sz w:val="20"/>
          <w:szCs w:val="20"/>
        </w:rPr>
        <w:t>At 31 December 2019 UK tax losses of the Company available to be carried forward are estimated to be £14,117,000 (</w:t>
      </w:r>
      <w:r w:rsidRPr="001B02FE">
        <w:rPr>
          <w:rFonts w:eastAsia="Times New Roman" w:cstheme="minorHAnsi"/>
          <w:sz w:val="20"/>
          <w:szCs w:val="20"/>
          <w:lang w:eastAsia="en-GB"/>
        </w:rPr>
        <w:t>31 December 2018</w:t>
      </w:r>
      <w:r w:rsidRPr="001B02FE">
        <w:rPr>
          <w:rFonts w:eastAsia="Times New Roman" w:cstheme="minorHAnsi"/>
          <w:sz w:val="20"/>
          <w:szCs w:val="20"/>
        </w:rPr>
        <w:t xml:space="preserve"> – £10,100,000). In the deferred tax note (1</w:t>
      </w:r>
      <w:r w:rsidR="00FA6A73" w:rsidRPr="001B02FE">
        <w:rPr>
          <w:rFonts w:eastAsia="Times New Roman" w:cstheme="minorHAnsi"/>
          <w:sz w:val="20"/>
          <w:szCs w:val="20"/>
        </w:rPr>
        <w:t>1</w:t>
      </w:r>
      <w:r w:rsidRPr="001B02FE">
        <w:rPr>
          <w:rFonts w:eastAsia="Times New Roman" w:cstheme="minorHAnsi"/>
          <w:sz w:val="20"/>
          <w:szCs w:val="20"/>
        </w:rPr>
        <w:t>) the recoverability of the deferred asset against future profits is assessed.</w:t>
      </w:r>
    </w:p>
    <w:p w14:paraId="00DB7F31" w14:textId="77777777" w:rsidR="00DA54F3" w:rsidRPr="001B02FE" w:rsidRDefault="00DA54F3" w:rsidP="00DA54F3">
      <w:pPr>
        <w:tabs>
          <w:tab w:val="left" w:pos="567"/>
          <w:tab w:val="decimal" w:pos="5940"/>
          <w:tab w:val="decimal" w:pos="7920"/>
        </w:tabs>
        <w:spacing w:after="0" w:line="240" w:lineRule="auto"/>
        <w:jc w:val="both"/>
        <w:rPr>
          <w:rFonts w:eastAsia="Times New Roman" w:cstheme="minorHAnsi"/>
          <w:sz w:val="20"/>
          <w:szCs w:val="20"/>
        </w:rPr>
      </w:pPr>
      <w:r w:rsidRPr="001B02FE">
        <w:rPr>
          <w:rFonts w:eastAsia="Times New Roman" w:cstheme="minorHAnsi"/>
          <w:sz w:val="20"/>
          <w:szCs w:val="20"/>
        </w:rPr>
        <w:t>Deferred tax balances are valued at the rate of 19% in these accounts to the extent that timing differences are expected to reverse after this later date.</w:t>
      </w:r>
    </w:p>
    <w:p w14:paraId="7FAB33E5" w14:textId="77777777" w:rsidR="00DA54F3" w:rsidRPr="001B02FE" w:rsidRDefault="00DA54F3" w:rsidP="00DA54F3">
      <w:pPr>
        <w:spacing w:after="0" w:line="240" w:lineRule="auto"/>
        <w:jc w:val="both"/>
        <w:rPr>
          <w:rFonts w:eastAsia="Times New Roman" w:cstheme="minorHAnsi"/>
          <w:b/>
          <w:sz w:val="20"/>
          <w:szCs w:val="20"/>
        </w:rPr>
      </w:pPr>
    </w:p>
    <w:p w14:paraId="65F2C1C4" w14:textId="7C7D7CDE" w:rsidR="00DA54F3" w:rsidRPr="001B02FE" w:rsidRDefault="002606D7" w:rsidP="00DA54F3">
      <w:pPr>
        <w:spacing w:after="0" w:line="240" w:lineRule="auto"/>
        <w:jc w:val="both"/>
        <w:rPr>
          <w:rFonts w:eastAsia="Times New Roman" w:cstheme="minorHAnsi"/>
          <w:b/>
          <w:sz w:val="20"/>
          <w:szCs w:val="20"/>
        </w:rPr>
      </w:pPr>
      <w:r w:rsidRPr="001B02FE">
        <w:rPr>
          <w:rFonts w:eastAsia="Times New Roman" w:cstheme="minorHAnsi"/>
          <w:b/>
          <w:sz w:val="20"/>
          <w:szCs w:val="20"/>
        </w:rPr>
        <w:t>7</w:t>
      </w:r>
      <w:r w:rsidR="00DA54F3" w:rsidRPr="001B02FE">
        <w:rPr>
          <w:rFonts w:eastAsia="Times New Roman" w:cstheme="minorHAnsi"/>
          <w:b/>
          <w:sz w:val="20"/>
          <w:szCs w:val="20"/>
        </w:rPr>
        <w:t>. Loss per share</w:t>
      </w:r>
    </w:p>
    <w:p w14:paraId="2D005F09" w14:textId="77777777" w:rsidR="00DA54F3" w:rsidRPr="001B02FE" w:rsidRDefault="00DA54F3" w:rsidP="00DA54F3">
      <w:pPr>
        <w:spacing w:after="0" w:line="240" w:lineRule="auto"/>
        <w:jc w:val="both"/>
        <w:rPr>
          <w:rFonts w:eastAsia="Times New Roman" w:cstheme="minorHAnsi"/>
          <w:b/>
          <w:sz w:val="20"/>
          <w:szCs w:val="20"/>
        </w:rPr>
      </w:pPr>
    </w:p>
    <w:p w14:paraId="024AA627" w14:textId="77777777"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sz w:val="20"/>
          <w:szCs w:val="20"/>
        </w:rPr>
        <w:t>Basic and diluted loss per share is calculated by dividing the loss attributable to owners of the parent by the weighted average number of Ordinary shares in issue during the period. The exercise of share options would have the effect of reducing the loss per share and is therefore anti-dilutive under the terms of IAS 33 ‘Earnings per share’.</w:t>
      </w:r>
    </w:p>
    <w:tbl>
      <w:tblPr>
        <w:tblW w:w="9626" w:type="dxa"/>
        <w:tblInd w:w="108" w:type="dxa"/>
        <w:tblLook w:val="0000" w:firstRow="0" w:lastRow="0" w:firstColumn="0" w:lastColumn="0" w:noHBand="0" w:noVBand="0"/>
      </w:tblPr>
      <w:tblGrid>
        <w:gridCol w:w="5988"/>
        <w:gridCol w:w="1689"/>
        <w:gridCol w:w="2221"/>
      </w:tblGrid>
      <w:tr w:rsidR="00DA54F3" w:rsidRPr="001B02FE" w14:paraId="30E24CD8" w14:textId="77777777" w:rsidTr="00A535DB">
        <w:trPr>
          <w:trHeight w:val="230"/>
        </w:trPr>
        <w:tc>
          <w:tcPr>
            <w:tcW w:w="5988" w:type="dxa"/>
            <w:tcBorders>
              <w:top w:val="nil"/>
              <w:left w:val="nil"/>
              <w:bottom w:val="nil"/>
              <w:right w:val="nil"/>
            </w:tcBorders>
            <w:noWrap/>
          </w:tcPr>
          <w:p w14:paraId="04D4DD65" w14:textId="77777777" w:rsidR="00DA54F3" w:rsidRPr="001B02FE" w:rsidRDefault="00DA54F3" w:rsidP="00A535DB">
            <w:pPr>
              <w:spacing w:after="0" w:line="240" w:lineRule="auto"/>
              <w:rPr>
                <w:rFonts w:eastAsia="Times New Roman" w:cstheme="minorHAnsi"/>
                <w:sz w:val="20"/>
                <w:szCs w:val="20"/>
              </w:rPr>
            </w:pPr>
          </w:p>
        </w:tc>
        <w:tc>
          <w:tcPr>
            <w:tcW w:w="1417" w:type="dxa"/>
            <w:tcBorders>
              <w:top w:val="nil"/>
              <w:left w:val="nil"/>
              <w:bottom w:val="nil"/>
              <w:right w:val="nil"/>
            </w:tcBorders>
            <w:noWrap/>
          </w:tcPr>
          <w:p w14:paraId="753E1A25" w14:textId="77777777" w:rsidR="00DA54F3" w:rsidRPr="001B02FE" w:rsidRDefault="00DA54F3" w:rsidP="00A535DB">
            <w:pPr>
              <w:keepNext/>
              <w:spacing w:after="0" w:line="240" w:lineRule="auto"/>
              <w:jc w:val="right"/>
              <w:rPr>
                <w:rFonts w:eastAsia="Times New Roman" w:cstheme="minorHAnsi"/>
                <w:b/>
                <w:sz w:val="20"/>
                <w:szCs w:val="20"/>
              </w:rPr>
            </w:pPr>
          </w:p>
          <w:p w14:paraId="6A7E05F3" w14:textId="77777777" w:rsidR="00DA54F3" w:rsidRPr="001B02FE" w:rsidRDefault="00DA54F3" w:rsidP="00A535DB">
            <w:pPr>
              <w:keepNext/>
              <w:spacing w:after="0" w:line="240" w:lineRule="auto"/>
              <w:jc w:val="right"/>
              <w:rPr>
                <w:rFonts w:eastAsia="Times New Roman" w:cstheme="minorHAnsi"/>
                <w:b/>
                <w:sz w:val="20"/>
                <w:szCs w:val="20"/>
              </w:rPr>
            </w:pPr>
            <w:r w:rsidRPr="001B02FE">
              <w:rPr>
                <w:rFonts w:eastAsia="Times New Roman" w:cstheme="minorHAnsi"/>
                <w:b/>
                <w:sz w:val="20"/>
                <w:szCs w:val="20"/>
              </w:rPr>
              <w:t>Year ended</w:t>
            </w:r>
          </w:p>
        </w:tc>
        <w:tc>
          <w:tcPr>
            <w:tcW w:w="2221" w:type="dxa"/>
            <w:tcBorders>
              <w:top w:val="nil"/>
              <w:left w:val="nil"/>
              <w:bottom w:val="nil"/>
              <w:right w:val="nil"/>
            </w:tcBorders>
            <w:noWrap/>
            <w:vAlign w:val="bottom"/>
          </w:tcPr>
          <w:p w14:paraId="7FB72A64" w14:textId="77777777" w:rsidR="00DA54F3" w:rsidRPr="001B02FE" w:rsidRDefault="00DA54F3" w:rsidP="00A535DB">
            <w:pPr>
              <w:spacing w:after="0" w:line="240" w:lineRule="auto"/>
              <w:ind w:right="143"/>
              <w:jc w:val="right"/>
              <w:rPr>
                <w:rFonts w:eastAsia="Times New Roman" w:cstheme="minorHAnsi"/>
                <w:bCs/>
                <w:sz w:val="20"/>
                <w:szCs w:val="20"/>
              </w:rPr>
            </w:pPr>
            <w:r w:rsidRPr="001B02FE">
              <w:rPr>
                <w:rFonts w:eastAsia="Times New Roman" w:cstheme="minorHAnsi"/>
                <w:bCs/>
                <w:sz w:val="20"/>
                <w:szCs w:val="20"/>
              </w:rPr>
              <w:t>Year ended</w:t>
            </w:r>
          </w:p>
        </w:tc>
      </w:tr>
      <w:tr w:rsidR="00DA54F3" w:rsidRPr="001B02FE" w14:paraId="5DD1235A" w14:textId="77777777" w:rsidTr="00A535DB">
        <w:trPr>
          <w:trHeight w:val="230"/>
        </w:trPr>
        <w:tc>
          <w:tcPr>
            <w:tcW w:w="5988" w:type="dxa"/>
            <w:tcBorders>
              <w:top w:val="nil"/>
              <w:left w:val="nil"/>
              <w:bottom w:val="nil"/>
              <w:right w:val="nil"/>
            </w:tcBorders>
            <w:noWrap/>
          </w:tcPr>
          <w:p w14:paraId="74AAC086" w14:textId="77777777" w:rsidR="00DA54F3" w:rsidRPr="001B02FE" w:rsidRDefault="00DA54F3" w:rsidP="00A535DB">
            <w:pPr>
              <w:spacing w:after="0" w:line="240" w:lineRule="auto"/>
              <w:rPr>
                <w:rFonts w:eastAsia="Times New Roman" w:cstheme="minorHAnsi"/>
                <w:sz w:val="20"/>
                <w:szCs w:val="20"/>
              </w:rPr>
            </w:pPr>
          </w:p>
        </w:tc>
        <w:tc>
          <w:tcPr>
            <w:tcW w:w="1417" w:type="dxa"/>
            <w:tcBorders>
              <w:top w:val="nil"/>
              <w:left w:val="nil"/>
              <w:bottom w:val="nil"/>
              <w:right w:val="nil"/>
            </w:tcBorders>
            <w:noWrap/>
            <w:vAlign w:val="bottom"/>
          </w:tcPr>
          <w:p w14:paraId="55A8CE83" w14:textId="77777777" w:rsidR="00DA54F3" w:rsidRPr="001B02FE" w:rsidRDefault="00DA54F3" w:rsidP="00A535DB">
            <w:pPr>
              <w:spacing w:after="0" w:line="240" w:lineRule="auto"/>
              <w:jc w:val="right"/>
              <w:rPr>
                <w:rFonts w:eastAsia="Times New Roman" w:cstheme="minorHAnsi"/>
                <w:sz w:val="20"/>
                <w:szCs w:val="20"/>
              </w:rPr>
            </w:pPr>
            <w:r w:rsidRPr="001B02FE">
              <w:rPr>
                <w:rFonts w:eastAsia="Times New Roman" w:cstheme="minorHAnsi"/>
                <w:b/>
                <w:sz w:val="20"/>
                <w:szCs w:val="20"/>
              </w:rPr>
              <w:t>31 December</w:t>
            </w:r>
          </w:p>
        </w:tc>
        <w:tc>
          <w:tcPr>
            <w:tcW w:w="2221" w:type="dxa"/>
            <w:tcBorders>
              <w:top w:val="nil"/>
              <w:left w:val="nil"/>
              <w:bottom w:val="nil"/>
              <w:right w:val="nil"/>
            </w:tcBorders>
            <w:noWrap/>
          </w:tcPr>
          <w:p w14:paraId="48075EEA" w14:textId="77777777" w:rsidR="00DA54F3" w:rsidRPr="001B02FE" w:rsidRDefault="00DA54F3" w:rsidP="00A535DB">
            <w:pPr>
              <w:spacing w:after="0" w:line="240" w:lineRule="auto"/>
              <w:ind w:right="143"/>
              <w:jc w:val="right"/>
              <w:rPr>
                <w:rFonts w:eastAsia="Times New Roman" w:cstheme="minorHAnsi"/>
                <w:bCs/>
                <w:sz w:val="20"/>
                <w:szCs w:val="20"/>
              </w:rPr>
            </w:pPr>
            <w:r w:rsidRPr="001B02FE">
              <w:rPr>
                <w:rFonts w:eastAsia="Times New Roman" w:cstheme="minorHAnsi"/>
                <w:bCs/>
                <w:sz w:val="20"/>
                <w:szCs w:val="20"/>
              </w:rPr>
              <w:t>31 December</w:t>
            </w:r>
          </w:p>
        </w:tc>
      </w:tr>
      <w:tr w:rsidR="00DA54F3" w:rsidRPr="001B02FE" w14:paraId="1A9A2B01" w14:textId="77777777" w:rsidTr="00A535DB">
        <w:trPr>
          <w:trHeight w:val="230"/>
        </w:trPr>
        <w:tc>
          <w:tcPr>
            <w:tcW w:w="5988" w:type="dxa"/>
            <w:tcBorders>
              <w:top w:val="nil"/>
              <w:left w:val="nil"/>
              <w:right w:val="nil"/>
            </w:tcBorders>
            <w:noWrap/>
          </w:tcPr>
          <w:p w14:paraId="3B462690" w14:textId="77777777" w:rsidR="00DA54F3" w:rsidRPr="001B02FE" w:rsidRDefault="00DA54F3" w:rsidP="00A535DB">
            <w:pPr>
              <w:spacing w:after="0" w:line="240" w:lineRule="auto"/>
              <w:rPr>
                <w:rFonts w:eastAsia="Times New Roman" w:cstheme="minorHAnsi"/>
                <w:sz w:val="20"/>
                <w:szCs w:val="20"/>
              </w:rPr>
            </w:pPr>
          </w:p>
        </w:tc>
        <w:tc>
          <w:tcPr>
            <w:tcW w:w="1417" w:type="dxa"/>
            <w:tcBorders>
              <w:top w:val="nil"/>
              <w:left w:val="nil"/>
              <w:right w:val="nil"/>
            </w:tcBorders>
            <w:noWrap/>
          </w:tcPr>
          <w:p w14:paraId="0D422740" w14:textId="77777777" w:rsidR="00DA54F3" w:rsidRPr="001B02FE" w:rsidRDefault="00DA54F3" w:rsidP="00A535DB">
            <w:pPr>
              <w:spacing w:after="0" w:line="240" w:lineRule="auto"/>
              <w:jc w:val="right"/>
              <w:rPr>
                <w:rFonts w:eastAsia="Times New Roman" w:cstheme="minorHAnsi"/>
                <w:b/>
                <w:bCs/>
                <w:sz w:val="20"/>
                <w:szCs w:val="20"/>
              </w:rPr>
            </w:pPr>
            <w:r w:rsidRPr="001B02FE">
              <w:rPr>
                <w:rFonts w:eastAsia="Times New Roman" w:cstheme="minorHAnsi"/>
                <w:b/>
                <w:bCs/>
                <w:sz w:val="20"/>
                <w:szCs w:val="20"/>
              </w:rPr>
              <w:t>2019</w:t>
            </w:r>
          </w:p>
        </w:tc>
        <w:tc>
          <w:tcPr>
            <w:tcW w:w="2221" w:type="dxa"/>
            <w:tcBorders>
              <w:top w:val="nil"/>
              <w:left w:val="nil"/>
              <w:right w:val="nil"/>
            </w:tcBorders>
            <w:noWrap/>
          </w:tcPr>
          <w:p w14:paraId="3DE879EC" w14:textId="77777777" w:rsidR="00DA54F3" w:rsidRPr="001B02FE" w:rsidRDefault="00DA54F3" w:rsidP="00A535DB">
            <w:pPr>
              <w:spacing w:after="0" w:line="240" w:lineRule="auto"/>
              <w:ind w:right="143"/>
              <w:jc w:val="right"/>
              <w:rPr>
                <w:rFonts w:eastAsia="Times New Roman" w:cstheme="minorHAnsi"/>
                <w:bCs/>
                <w:sz w:val="20"/>
                <w:szCs w:val="20"/>
              </w:rPr>
            </w:pPr>
            <w:r w:rsidRPr="001B02FE">
              <w:rPr>
                <w:rFonts w:eastAsia="Times New Roman" w:cstheme="minorHAnsi"/>
                <w:bCs/>
                <w:sz w:val="20"/>
                <w:szCs w:val="20"/>
              </w:rPr>
              <w:t>2018</w:t>
            </w:r>
          </w:p>
        </w:tc>
      </w:tr>
      <w:tr w:rsidR="00DA54F3" w:rsidRPr="001B02FE" w14:paraId="78D02CF5" w14:textId="77777777" w:rsidTr="00A535DB">
        <w:trPr>
          <w:trHeight w:val="230"/>
        </w:trPr>
        <w:tc>
          <w:tcPr>
            <w:tcW w:w="5988" w:type="dxa"/>
            <w:tcBorders>
              <w:left w:val="nil"/>
              <w:right w:val="nil"/>
            </w:tcBorders>
            <w:noWrap/>
          </w:tcPr>
          <w:p w14:paraId="277077CB" w14:textId="77777777" w:rsidR="00DA54F3" w:rsidRPr="001B02FE" w:rsidRDefault="00DA54F3" w:rsidP="00A535DB">
            <w:pPr>
              <w:spacing w:after="0" w:line="240" w:lineRule="auto"/>
              <w:rPr>
                <w:rFonts w:eastAsia="Times New Roman" w:cstheme="minorHAnsi"/>
                <w:sz w:val="20"/>
                <w:szCs w:val="20"/>
              </w:rPr>
            </w:pPr>
          </w:p>
        </w:tc>
        <w:tc>
          <w:tcPr>
            <w:tcW w:w="1417" w:type="dxa"/>
            <w:tcBorders>
              <w:left w:val="nil"/>
              <w:right w:val="nil"/>
            </w:tcBorders>
            <w:noWrap/>
          </w:tcPr>
          <w:p w14:paraId="20B06397" w14:textId="77777777" w:rsidR="00DA54F3" w:rsidRPr="001B02FE" w:rsidRDefault="00DA54F3" w:rsidP="00A535DB">
            <w:pPr>
              <w:spacing w:after="0" w:line="240" w:lineRule="auto"/>
              <w:jc w:val="right"/>
              <w:rPr>
                <w:rFonts w:eastAsia="Times New Roman" w:cstheme="minorHAnsi"/>
                <w:sz w:val="20"/>
                <w:szCs w:val="20"/>
              </w:rPr>
            </w:pPr>
          </w:p>
        </w:tc>
        <w:tc>
          <w:tcPr>
            <w:tcW w:w="2221" w:type="dxa"/>
            <w:tcBorders>
              <w:left w:val="nil"/>
              <w:right w:val="nil"/>
            </w:tcBorders>
            <w:noWrap/>
          </w:tcPr>
          <w:p w14:paraId="29E95E37" w14:textId="77777777" w:rsidR="00DA54F3" w:rsidRPr="001B02FE" w:rsidRDefault="00DA54F3" w:rsidP="00A535DB">
            <w:pPr>
              <w:spacing w:after="0" w:line="240" w:lineRule="auto"/>
              <w:jc w:val="right"/>
              <w:rPr>
                <w:rFonts w:eastAsia="Times New Roman" w:cstheme="minorHAnsi"/>
                <w:sz w:val="20"/>
                <w:szCs w:val="20"/>
              </w:rPr>
            </w:pPr>
          </w:p>
        </w:tc>
      </w:tr>
      <w:tr w:rsidR="00DA54F3" w:rsidRPr="001B02FE" w14:paraId="795F6502" w14:textId="77777777" w:rsidTr="00A535DB">
        <w:trPr>
          <w:trHeight w:val="454"/>
        </w:trPr>
        <w:tc>
          <w:tcPr>
            <w:tcW w:w="5988" w:type="dxa"/>
            <w:tcBorders>
              <w:left w:val="nil"/>
              <w:right w:val="nil"/>
            </w:tcBorders>
            <w:noWrap/>
            <w:vAlign w:val="center"/>
          </w:tcPr>
          <w:p w14:paraId="6559B00F" w14:textId="77777777" w:rsidR="00DA54F3" w:rsidRPr="001B02FE" w:rsidRDefault="00DA54F3" w:rsidP="00A535DB">
            <w:pPr>
              <w:spacing w:after="0" w:line="240" w:lineRule="auto"/>
              <w:rPr>
                <w:rFonts w:eastAsia="Times New Roman" w:cstheme="minorHAnsi"/>
                <w:sz w:val="20"/>
                <w:szCs w:val="20"/>
              </w:rPr>
            </w:pPr>
            <w:r w:rsidRPr="001B02FE">
              <w:rPr>
                <w:rFonts w:eastAsia="Times New Roman" w:cstheme="minorHAnsi"/>
                <w:bCs/>
                <w:sz w:val="20"/>
                <w:szCs w:val="20"/>
              </w:rPr>
              <w:t>Loss for the year attributable to owners of the parent – £’000</w:t>
            </w:r>
          </w:p>
        </w:tc>
        <w:tc>
          <w:tcPr>
            <w:tcW w:w="1417" w:type="dxa"/>
            <w:tcBorders>
              <w:left w:val="nil"/>
              <w:right w:val="nil"/>
            </w:tcBorders>
            <w:noWrap/>
            <w:vAlign w:val="center"/>
          </w:tcPr>
          <w:p w14:paraId="3CC40F6F" w14:textId="77777777" w:rsidR="00DA54F3" w:rsidRPr="001B02FE" w:rsidRDefault="00DA54F3" w:rsidP="00A535DB">
            <w:pPr>
              <w:keepNext/>
              <w:tabs>
                <w:tab w:val="decimal" w:pos="1359"/>
              </w:tabs>
              <w:spacing w:after="0" w:line="240" w:lineRule="auto"/>
              <w:ind w:right="-160"/>
              <w:jc w:val="right"/>
              <w:outlineLvl w:val="0"/>
              <w:rPr>
                <w:rFonts w:eastAsia="Times New Roman" w:cstheme="minorHAnsi"/>
                <w:b/>
                <w:sz w:val="20"/>
                <w:szCs w:val="20"/>
              </w:rPr>
            </w:pPr>
            <w:r w:rsidRPr="001B02FE">
              <w:rPr>
                <w:rFonts w:eastAsia="Times New Roman" w:cstheme="minorHAnsi"/>
                <w:b/>
                <w:sz w:val="20"/>
                <w:szCs w:val="20"/>
              </w:rPr>
              <w:t>(5,618),</w:t>
            </w:r>
          </w:p>
        </w:tc>
        <w:tc>
          <w:tcPr>
            <w:tcW w:w="2221" w:type="dxa"/>
            <w:tcBorders>
              <w:left w:val="nil"/>
              <w:right w:val="nil"/>
            </w:tcBorders>
            <w:noWrap/>
            <w:vAlign w:val="center"/>
          </w:tcPr>
          <w:p w14:paraId="4890E2F3" w14:textId="77777777" w:rsidR="00DA54F3" w:rsidRPr="001B02FE" w:rsidRDefault="00DA54F3" w:rsidP="00A535DB">
            <w:pPr>
              <w:keepNext/>
              <w:tabs>
                <w:tab w:val="decimal" w:pos="1584"/>
              </w:tabs>
              <w:spacing w:after="0" w:line="240" w:lineRule="auto"/>
              <w:ind w:right="76"/>
              <w:jc w:val="right"/>
              <w:outlineLvl w:val="0"/>
              <w:rPr>
                <w:rFonts w:eastAsia="Times New Roman" w:cstheme="minorHAnsi"/>
                <w:sz w:val="20"/>
                <w:szCs w:val="20"/>
              </w:rPr>
            </w:pPr>
            <w:r w:rsidRPr="001B02FE">
              <w:rPr>
                <w:rFonts w:eastAsia="Times New Roman" w:cstheme="minorHAnsi"/>
                <w:sz w:val="20"/>
                <w:szCs w:val="20"/>
              </w:rPr>
              <w:t>(5,875)</w:t>
            </w:r>
          </w:p>
        </w:tc>
      </w:tr>
      <w:tr w:rsidR="00DA54F3" w:rsidRPr="001B02FE" w14:paraId="77287111" w14:textId="77777777" w:rsidTr="00A535DB">
        <w:trPr>
          <w:trHeight w:val="454"/>
        </w:trPr>
        <w:tc>
          <w:tcPr>
            <w:tcW w:w="5988" w:type="dxa"/>
            <w:tcBorders>
              <w:top w:val="nil"/>
              <w:left w:val="nil"/>
              <w:bottom w:val="nil"/>
              <w:right w:val="nil"/>
            </w:tcBorders>
            <w:noWrap/>
            <w:vAlign w:val="center"/>
          </w:tcPr>
          <w:p w14:paraId="5BB2EAAC" w14:textId="77777777" w:rsidR="00DA54F3" w:rsidRPr="001B02FE" w:rsidRDefault="00DA54F3" w:rsidP="00A535DB">
            <w:pPr>
              <w:spacing w:after="0" w:line="240" w:lineRule="auto"/>
              <w:rPr>
                <w:rFonts w:eastAsia="Times New Roman" w:cstheme="minorHAnsi"/>
                <w:bCs/>
                <w:sz w:val="20"/>
                <w:szCs w:val="20"/>
              </w:rPr>
            </w:pPr>
            <w:r w:rsidRPr="001B02FE">
              <w:rPr>
                <w:rFonts w:eastAsia="Times New Roman" w:cstheme="minorHAnsi"/>
                <w:bCs/>
                <w:sz w:val="20"/>
                <w:szCs w:val="20"/>
              </w:rPr>
              <w:t>Weighted average number of shares</w:t>
            </w:r>
          </w:p>
        </w:tc>
        <w:tc>
          <w:tcPr>
            <w:tcW w:w="1417" w:type="dxa"/>
            <w:tcBorders>
              <w:top w:val="nil"/>
              <w:left w:val="nil"/>
              <w:bottom w:val="nil"/>
              <w:right w:val="nil"/>
            </w:tcBorders>
            <w:noWrap/>
            <w:vAlign w:val="center"/>
          </w:tcPr>
          <w:p w14:paraId="79E1A684" w14:textId="77777777" w:rsidR="00DA54F3" w:rsidRPr="001B02FE" w:rsidRDefault="00DA54F3" w:rsidP="00A535DB">
            <w:pPr>
              <w:keepNext/>
              <w:tabs>
                <w:tab w:val="decimal" w:pos="1404"/>
              </w:tabs>
              <w:spacing w:after="0" w:line="240" w:lineRule="auto"/>
              <w:ind w:right="-160"/>
              <w:jc w:val="right"/>
              <w:outlineLvl w:val="0"/>
              <w:rPr>
                <w:rFonts w:eastAsia="Times New Roman" w:cstheme="minorHAnsi"/>
                <w:b/>
                <w:sz w:val="20"/>
                <w:szCs w:val="20"/>
              </w:rPr>
            </w:pPr>
            <w:r w:rsidRPr="001B02FE">
              <w:rPr>
                <w:rFonts w:eastAsia="Times New Roman" w:cstheme="minorHAnsi"/>
                <w:b/>
                <w:sz w:val="20"/>
                <w:szCs w:val="20"/>
              </w:rPr>
              <w:t>122,716,318,</w:t>
            </w:r>
          </w:p>
        </w:tc>
        <w:tc>
          <w:tcPr>
            <w:tcW w:w="2221" w:type="dxa"/>
            <w:tcBorders>
              <w:top w:val="nil"/>
              <w:left w:val="nil"/>
              <w:bottom w:val="nil"/>
              <w:right w:val="nil"/>
            </w:tcBorders>
            <w:noWrap/>
            <w:vAlign w:val="center"/>
          </w:tcPr>
          <w:p w14:paraId="60BE1495" w14:textId="77777777" w:rsidR="00DA54F3" w:rsidRPr="001B02FE" w:rsidRDefault="00DA54F3" w:rsidP="00A535DB">
            <w:pPr>
              <w:keepNext/>
              <w:tabs>
                <w:tab w:val="decimal" w:pos="1584"/>
              </w:tabs>
              <w:spacing w:after="0" w:line="240" w:lineRule="auto"/>
              <w:ind w:right="76"/>
              <w:jc w:val="right"/>
              <w:outlineLvl w:val="0"/>
              <w:rPr>
                <w:rFonts w:eastAsia="Times New Roman" w:cstheme="minorHAnsi"/>
                <w:sz w:val="20"/>
                <w:szCs w:val="20"/>
              </w:rPr>
            </w:pPr>
            <w:r w:rsidRPr="001B02FE">
              <w:rPr>
                <w:rFonts w:eastAsia="Times New Roman" w:cstheme="minorHAnsi"/>
                <w:sz w:val="20"/>
                <w:szCs w:val="20"/>
              </w:rPr>
              <w:t>71,422,400</w:t>
            </w:r>
          </w:p>
        </w:tc>
      </w:tr>
      <w:tr w:rsidR="00DA54F3" w:rsidRPr="001B02FE" w14:paraId="3636DDAC" w14:textId="77777777" w:rsidTr="00A535DB">
        <w:trPr>
          <w:trHeight w:val="454"/>
        </w:trPr>
        <w:tc>
          <w:tcPr>
            <w:tcW w:w="5988" w:type="dxa"/>
            <w:tcBorders>
              <w:top w:val="single" w:sz="4" w:space="0" w:color="auto"/>
              <w:left w:val="nil"/>
              <w:bottom w:val="single" w:sz="12" w:space="0" w:color="auto"/>
              <w:right w:val="nil"/>
            </w:tcBorders>
            <w:noWrap/>
            <w:vAlign w:val="center"/>
          </w:tcPr>
          <w:p w14:paraId="65868A51" w14:textId="77777777" w:rsidR="00DA54F3" w:rsidRPr="001B02FE" w:rsidRDefault="00DA54F3" w:rsidP="00A535DB">
            <w:pPr>
              <w:spacing w:after="0" w:line="240" w:lineRule="auto"/>
              <w:rPr>
                <w:rFonts w:eastAsia="Times New Roman" w:cstheme="minorHAnsi"/>
                <w:b/>
                <w:bCs/>
                <w:sz w:val="20"/>
                <w:szCs w:val="20"/>
              </w:rPr>
            </w:pPr>
            <w:r w:rsidRPr="001B02FE">
              <w:rPr>
                <w:rFonts w:eastAsia="Times New Roman" w:cstheme="minorHAnsi"/>
                <w:b/>
                <w:bCs/>
                <w:sz w:val="20"/>
                <w:szCs w:val="20"/>
              </w:rPr>
              <w:t>Basic and diluted loss per share – pence</w:t>
            </w:r>
          </w:p>
        </w:tc>
        <w:tc>
          <w:tcPr>
            <w:tcW w:w="1417" w:type="dxa"/>
            <w:tcBorders>
              <w:top w:val="single" w:sz="4" w:space="0" w:color="auto"/>
              <w:left w:val="nil"/>
              <w:bottom w:val="single" w:sz="12" w:space="0" w:color="auto"/>
              <w:right w:val="nil"/>
            </w:tcBorders>
            <w:noWrap/>
            <w:vAlign w:val="center"/>
          </w:tcPr>
          <w:p w14:paraId="75752A0D" w14:textId="77777777" w:rsidR="00DA54F3" w:rsidRPr="001B02FE" w:rsidRDefault="00DA54F3" w:rsidP="00A535DB">
            <w:pPr>
              <w:spacing w:after="0" w:line="240" w:lineRule="auto"/>
              <w:ind w:right="-12"/>
              <w:jc w:val="right"/>
              <w:rPr>
                <w:rFonts w:eastAsia="Times New Roman" w:cstheme="minorHAnsi"/>
                <w:b/>
                <w:sz w:val="20"/>
                <w:szCs w:val="20"/>
              </w:rPr>
            </w:pPr>
            <w:r w:rsidRPr="001B02FE">
              <w:rPr>
                <w:rFonts w:eastAsia="Times New Roman" w:cstheme="minorHAnsi"/>
                <w:b/>
                <w:sz w:val="20"/>
                <w:szCs w:val="20"/>
              </w:rPr>
              <w:t>(4.6p)</w:t>
            </w:r>
          </w:p>
        </w:tc>
        <w:tc>
          <w:tcPr>
            <w:tcW w:w="2221" w:type="dxa"/>
            <w:tcBorders>
              <w:top w:val="single" w:sz="4" w:space="0" w:color="auto"/>
              <w:left w:val="nil"/>
              <w:bottom w:val="single" w:sz="12" w:space="0" w:color="auto"/>
              <w:right w:val="nil"/>
            </w:tcBorders>
            <w:noWrap/>
            <w:vAlign w:val="center"/>
          </w:tcPr>
          <w:p w14:paraId="2ADB32C1" w14:textId="77777777" w:rsidR="00DA54F3" w:rsidRPr="001B02FE" w:rsidRDefault="00DA54F3" w:rsidP="00A535DB">
            <w:pPr>
              <w:tabs>
                <w:tab w:val="decimal" w:pos="1584"/>
              </w:tabs>
              <w:spacing w:after="0" w:line="240" w:lineRule="auto"/>
              <w:ind w:right="76"/>
              <w:jc w:val="right"/>
              <w:rPr>
                <w:rFonts w:eastAsia="Times New Roman" w:cstheme="minorHAnsi"/>
                <w:sz w:val="20"/>
                <w:szCs w:val="20"/>
              </w:rPr>
            </w:pPr>
            <w:r w:rsidRPr="001B02FE">
              <w:rPr>
                <w:rFonts w:eastAsia="Times New Roman" w:cstheme="minorHAnsi"/>
                <w:sz w:val="20"/>
                <w:szCs w:val="20"/>
              </w:rPr>
              <w:t>(8.2p)</w:t>
            </w:r>
          </w:p>
        </w:tc>
      </w:tr>
    </w:tbl>
    <w:p w14:paraId="71E2D4DE" w14:textId="77777777" w:rsidR="00DA54F3" w:rsidRPr="001B02FE" w:rsidRDefault="00DA54F3" w:rsidP="00DA54F3">
      <w:pPr>
        <w:spacing w:after="0" w:line="240" w:lineRule="auto"/>
        <w:jc w:val="both"/>
        <w:rPr>
          <w:rFonts w:eastAsia="Times New Roman" w:cstheme="minorHAnsi"/>
          <w:sz w:val="20"/>
          <w:szCs w:val="20"/>
        </w:rPr>
      </w:pPr>
    </w:p>
    <w:p w14:paraId="260D2A22" w14:textId="77777777"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sz w:val="20"/>
          <w:szCs w:val="20"/>
        </w:rPr>
        <w:t xml:space="preserve">The number of vested but unexercised share options is 6,080,901 (2018 – 5,428,949). </w:t>
      </w:r>
    </w:p>
    <w:p w14:paraId="4332D376" w14:textId="77777777" w:rsidR="00DA54F3" w:rsidRPr="001B02FE" w:rsidRDefault="00DA54F3" w:rsidP="00DA54F3">
      <w:pPr>
        <w:spacing w:after="0" w:line="240" w:lineRule="auto"/>
        <w:jc w:val="both"/>
        <w:rPr>
          <w:rFonts w:eastAsia="Times New Roman" w:cstheme="minorHAnsi"/>
          <w:b/>
          <w:sz w:val="20"/>
          <w:szCs w:val="20"/>
        </w:rPr>
      </w:pPr>
    </w:p>
    <w:p w14:paraId="0FE72CF0" w14:textId="601916D0" w:rsidR="00DA54F3" w:rsidRPr="001B02FE" w:rsidRDefault="002606D7" w:rsidP="00DA54F3">
      <w:pPr>
        <w:spacing w:after="0" w:line="240" w:lineRule="auto"/>
        <w:jc w:val="both"/>
        <w:rPr>
          <w:rFonts w:eastAsia="Times New Roman" w:cstheme="minorHAnsi"/>
          <w:b/>
          <w:sz w:val="20"/>
          <w:szCs w:val="20"/>
        </w:rPr>
      </w:pPr>
      <w:r w:rsidRPr="001B02FE">
        <w:rPr>
          <w:rFonts w:eastAsia="Times New Roman" w:cstheme="minorHAnsi"/>
          <w:b/>
          <w:sz w:val="20"/>
          <w:szCs w:val="20"/>
        </w:rPr>
        <w:t>8</w:t>
      </w:r>
      <w:r w:rsidR="00DA54F3" w:rsidRPr="001B02FE">
        <w:rPr>
          <w:rFonts w:eastAsia="Times New Roman" w:cstheme="minorHAnsi"/>
          <w:b/>
          <w:sz w:val="20"/>
          <w:szCs w:val="20"/>
        </w:rPr>
        <w:t>. Inventories</w:t>
      </w:r>
    </w:p>
    <w:tbl>
      <w:tblPr>
        <w:tblW w:w="9806" w:type="dxa"/>
        <w:tblInd w:w="56" w:type="dxa"/>
        <w:tblLayout w:type="fixed"/>
        <w:tblLook w:val="0000" w:firstRow="0" w:lastRow="0" w:firstColumn="0" w:lastColumn="0" w:noHBand="0" w:noVBand="0"/>
      </w:tblPr>
      <w:tblGrid>
        <w:gridCol w:w="6690"/>
        <w:gridCol w:w="1676"/>
        <w:gridCol w:w="1440"/>
      </w:tblGrid>
      <w:tr w:rsidR="00DA54F3" w:rsidRPr="001B02FE" w14:paraId="4B32FB48" w14:textId="77777777" w:rsidTr="00A535DB">
        <w:trPr>
          <w:cantSplit/>
        </w:trPr>
        <w:tc>
          <w:tcPr>
            <w:tcW w:w="6690" w:type="dxa"/>
            <w:vAlign w:val="bottom"/>
          </w:tcPr>
          <w:p w14:paraId="32B3A936" w14:textId="77777777" w:rsidR="00DA54F3" w:rsidRPr="001B02FE" w:rsidRDefault="00DA54F3" w:rsidP="00A535DB">
            <w:pPr>
              <w:spacing w:after="0" w:line="240" w:lineRule="auto"/>
              <w:jc w:val="both"/>
              <w:rPr>
                <w:rFonts w:eastAsia="Times New Roman" w:cstheme="minorHAnsi"/>
                <w:sz w:val="20"/>
                <w:szCs w:val="20"/>
              </w:rPr>
            </w:pPr>
          </w:p>
        </w:tc>
        <w:tc>
          <w:tcPr>
            <w:tcW w:w="1676" w:type="dxa"/>
            <w:vAlign w:val="bottom"/>
          </w:tcPr>
          <w:p w14:paraId="316F5509" w14:textId="77777777" w:rsidR="00DA54F3" w:rsidRPr="001B02FE" w:rsidRDefault="00DA54F3" w:rsidP="00A535DB">
            <w:pPr>
              <w:tabs>
                <w:tab w:val="left" w:pos="1173"/>
              </w:tabs>
              <w:spacing w:after="0" w:line="240" w:lineRule="auto"/>
              <w:jc w:val="right"/>
              <w:rPr>
                <w:rFonts w:eastAsia="Times New Roman" w:cstheme="minorHAnsi"/>
                <w:b/>
                <w:sz w:val="20"/>
                <w:szCs w:val="20"/>
              </w:rPr>
            </w:pPr>
            <w:r w:rsidRPr="001B02FE">
              <w:rPr>
                <w:rFonts w:eastAsia="Times New Roman" w:cstheme="minorHAnsi"/>
                <w:b/>
                <w:sz w:val="20"/>
                <w:szCs w:val="20"/>
              </w:rPr>
              <w:t>31 December</w:t>
            </w:r>
          </w:p>
          <w:p w14:paraId="171DFAA3" w14:textId="77777777" w:rsidR="00DA54F3" w:rsidRPr="001B02FE" w:rsidRDefault="00DA54F3" w:rsidP="00A535DB">
            <w:pPr>
              <w:tabs>
                <w:tab w:val="left" w:pos="1173"/>
              </w:tabs>
              <w:spacing w:after="0" w:line="240" w:lineRule="auto"/>
              <w:jc w:val="right"/>
              <w:rPr>
                <w:rFonts w:eastAsia="Times New Roman" w:cstheme="minorHAnsi"/>
                <w:b/>
                <w:sz w:val="20"/>
                <w:szCs w:val="20"/>
              </w:rPr>
            </w:pPr>
            <w:r w:rsidRPr="001B02FE">
              <w:rPr>
                <w:rFonts w:eastAsia="Times New Roman" w:cstheme="minorHAnsi"/>
                <w:b/>
                <w:sz w:val="20"/>
                <w:szCs w:val="20"/>
              </w:rPr>
              <w:t>2019</w:t>
            </w:r>
          </w:p>
        </w:tc>
        <w:tc>
          <w:tcPr>
            <w:tcW w:w="1440" w:type="dxa"/>
            <w:vAlign w:val="bottom"/>
          </w:tcPr>
          <w:p w14:paraId="7424F3D0" w14:textId="77777777" w:rsidR="00DA54F3" w:rsidRPr="001B02FE" w:rsidRDefault="00DA54F3" w:rsidP="00A535DB">
            <w:pPr>
              <w:tabs>
                <w:tab w:val="left" w:pos="1173"/>
              </w:tabs>
              <w:spacing w:after="0" w:line="240" w:lineRule="auto"/>
              <w:jc w:val="right"/>
              <w:rPr>
                <w:rFonts w:eastAsia="Times New Roman" w:cstheme="minorHAnsi"/>
                <w:sz w:val="20"/>
                <w:szCs w:val="20"/>
              </w:rPr>
            </w:pPr>
            <w:r w:rsidRPr="001B02FE">
              <w:rPr>
                <w:rFonts w:eastAsia="Times New Roman" w:cstheme="minorHAnsi"/>
                <w:sz w:val="20"/>
                <w:szCs w:val="20"/>
              </w:rPr>
              <w:t>31 December</w:t>
            </w:r>
          </w:p>
          <w:p w14:paraId="48AA6008" w14:textId="77777777" w:rsidR="00DA54F3" w:rsidRPr="001B02FE" w:rsidRDefault="00DA54F3" w:rsidP="00A535DB">
            <w:pPr>
              <w:keepNext/>
              <w:tabs>
                <w:tab w:val="decimal" w:pos="1202"/>
              </w:tabs>
              <w:spacing w:after="0" w:line="240" w:lineRule="auto"/>
              <w:jc w:val="right"/>
              <w:outlineLvl w:val="0"/>
              <w:rPr>
                <w:rFonts w:eastAsia="Times New Roman" w:cstheme="minorHAnsi"/>
                <w:sz w:val="20"/>
                <w:szCs w:val="20"/>
              </w:rPr>
            </w:pPr>
            <w:r w:rsidRPr="001B02FE">
              <w:rPr>
                <w:rFonts w:eastAsia="Times New Roman" w:cstheme="minorHAnsi"/>
                <w:sz w:val="20"/>
                <w:szCs w:val="20"/>
              </w:rPr>
              <w:t>2018</w:t>
            </w:r>
          </w:p>
        </w:tc>
      </w:tr>
      <w:tr w:rsidR="00DA54F3" w:rsidRPr="001B02FE" w14:paraId="676E8516" w14:textId="77777777" w:rsidTr="00A535DB">
        <w:trPr>
          <w:cantSplit/>
        </w:trPr>
        <w:tc>
          <w:tcPr>
            <w:tcW w:w="6690" w:type="dxa"/>
            <w:tcBorders>
              <w:bottom w:val="single" w:sz="4" w:space="0" w:color="auto"/>
            </w:tcBorders>
          </w:tcPr>
          <w:p w14:paraId="7DDED3F7" w14:textId="77777777" w:rsidR="00DA54F3" w:rsidRPr="001B02FE" w:rsidRDefault="00DA54F3" w:rsidP="00A535DB">
            <w:pPr>
              <w:spacing w:after="0" w:line="240" w:lineRule="auto"/>
              <w:jc w:val="both"/>
              <w:rPr>
                <w:rFonts w:eastAsia="Times New Roman" w:cstheme="minorHAnsi"/>
                <w:sz w:val="20"/>
                <w:szCs w:val="20"/>
              </w:rPr>
            </w:pPr>
          </w:p>
        </w:tc>
        <w:tc>
          <w:tcPr>
            <w:tcW w:w="1676" w:type="dxa"/>
            <w:tcBorders>
              <w:bottom w:val="single" w:sz="4" w:space="0" w:color="auto"/>
            </w:tcBorders>
          </w:tcPr>
          <w:p w14:paraId="6876B0A0" w14:textId="77777777" w:rsidR="00DA54F3" w:rsidRPr="001B02FE" w:rsidRDefault="00DA54F3" w:rsidP="00A535DB">
            <w:pPr>
              <w:tabs>
                <w:tab w:val="left" w:pos="1173"/>
              </w:tabs>
              <w:spacing w:after="0" w:line="240" w:lineRule="auto"/>
              <w:jc w:val="right"/>
              <w:rPr>
                <w:rFonts w:eastAsia="Times New Roman" w:cstheme="minorHAnsi"/>
                <w:b/>
                <w:sz w:val="20"/>
                <w:szCs w:val="20"/>
              </w:rPr>
            </w:pPr>
            <w:r w:rsidRPr="001B02FE">
              <w:rPr>
                <w:rFonts w:eastAsia="Times New Roman" w:cstheme="minorHAnsi"/>
                <w:b/>
                <w:sz w:val="20"/>
                <w:szCs w:val="20"/>
              </w:rPr>
              <w:t>£’000</w:t>
            </w:r>
          </w:p>
        </w:tc>
        <w:tc>
          <w:tcPr>
            <w:tcW w:w="1440" w:type="dxa"/>
            <w:tcBorders>
              <w:bottom w:val="single" w:sz="4" w:space="0" w:color="auto"/>
            </w:tcBorders>
          </w:tcPr>
          <w:p w14:paraId="2C62DABE" w14:textId="77777777" w:rsidR="00DA54F3" w:rsidRPr="001B02FE" w:rsidRDefault="00DA54F3" w:rsidP="00A535DB">
            <w:pPr>
              <w:keepNext/>
              <w:tabs>
                <w:tab w:val="decimal" w:pos="1202"/>
              </w:tabs>
              <w:spacing w:after="0" w:line="240" w:lineRule="auto"/>
              <w:jc w:val="right"/>
              <w:outlineLvl w:val="0"/>
              <w:rPr>
                <w:rFonts w:eastAsia="Times New Roman" w:cstheme="minorHAnsi"/>
                <w:sz w:val="20"/>
                <w:szCs w:val="20"/>
              </w:rPr>
            </w:pPr>
            <w:r w:rsidRPr="001B02FE">
              <w:rPr>
                <w:rFonts w:eastAsia="Times New Roman" w:cstheme="minorHAnsi"/>
                <w:sz w:val="20"/>
                <w:szCs w:val="20"/>
              </w:rPr>
              <w:t>£’000</w:t>
            </w:r>
          </w:p>
        </w:tc>
      </w:tr>
      <w:tr w:rsidR="00DA54F3" w:rsidRPr="001B02FE" w14:paraId="5F06383B" w14:textId="77777777" w:rsidTr="00A535DB">
        <w:trPr>
          <w:cantSplit/>
        </w:trPr>
        <w:tc>
          <w:tcPr>
            <w:tcW w:w="6690" w:type="dxa"/>
            <w:tcBorders>
              <w:top w:val="single" w:sz="4" w:space="0" w:color="auto"/>
            </w:tcBorders>
          </w:tcPr>
          <w:p w14:paraId="15F48392" w14:textId="77777777" w:rsidR="00DA54F3" w:rsidRPr="001B02FE" w:rsidRDefault="00DA54F3" w:rsidP="00A535DB">
            <w:pPr>
              <w:spacing w:after="0" w:line="240" w:lineRule="auto"/>
              <w:jc w:val="both"/>
              <w:rPr>
                <w:rFonts w:eastAsia="Times New Roman" w:cstheme="minorHAnsi"/>
                <w:sz w:val="20"/>
                <w:szCs w:val="20"/>
              </w:rPr>
            </w:pPr>
          </w:p>
        </w:tc>
        <w:tc>
          <w:tcPr>
            <w:tcW w:w="1676" w:type="dxa"/>
            <w:tcBorders>
              <w:top w:val="single" w:sz="4" w:space="0" w:color="auto"/>
            </w:tcBorders>
          </w:tcPr>
          <w:p w14:paraId="60684510" w14:textId="77777777" w:rsidR="00DA54F3" w:rsidRPr="001B02FE" w:rsidRDefault="00DA54F3" w:rsidP="00A535DB">
            <w:pPr>
              <w:keepNext/>
              <w:tabs>
                <w:tab w:val="decimal" w:pos="1202"/>
              </w:tabs>
              <w:spacing w:after="0" w:line="240" w:lineRule="auto"/>
              <w:jc w:val="right"/>
              <w:outlineLvl w:val="0"/>
              <w:rPr>
                <w:rFonts w:eastAsia="Times New Roman" w:cstheme="minorHAnsi"/>
                <w:b/>
                <w:sz w:val="20"/>
                <w:szCs w:val="20"/>
              </w:rPr>
            </w:pPr>
          </w:p>
        </w:tc>
        <w:tc>
          <w:tcPr>
            <w:tcW w:w="1440" w:type="dxa"/>
            <w:tcBorders>
              <w:top w:val="single" w:sz="4" w:space="0" w:color="auto"/>
            </w:tcBorders>
          </w:tcPr>
          <w:p w14:paraId="1B2E6C87" w14:textId="77777777" w:rsidR="00DA54F3" w:rsidRPr="001B02FE" w:rsidRDefault="00DA54F3" w:rsidP="00A535DB">
            <w:pPr>
              <w:keepNext/>
              <w:tabs>
                <w:tab w:val="decimal" w:pos="1202"/>
              </w:tabs>
              <w:spacing w:after="0" w:line="240" w:lineRule="auto"/>
              <w:jc w:val="right"/>
              <w:outlineLvl w:val="0"/>
              <w:rPr>
                <w:rFonts w:eastAsia="Times New Roman" w:cstheme="minorHAnsi"/>
                <w:sz w:val="20"/>
                <w:szCs w:val="20"/>
              </w:rPr>
            </w:pPr>
          </w:p>
        </w:tc>
      </w:tr>
      <w:tr w:rsidR="00DA54F3" w:rsidRPr="001B02FE" w14:paraId="77927CCE" w14:textId="77777777" w:rsidTr="00A535DB">
        <w:trPr>
          <w:cantSplit/>
        </w:trPr>
        <w:tc>
          <w:tcPr>
            <w:tcW w:w="6690" w:type="dxa"/>
          </w:tcPr>
          <w:p w14:paraId="0CA80A53"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Raw materials</w:t>
            </w:r>
          </w:p>
        </w:tc>
        <w:tc>
          <w:tcPr>
            <w:tcW w:w="1676" w:type="dxa"/>
          </w:tcPr>
          <w:p w14:paraId="25A0D24B" w14:textId="77777777" w:rsidR="00DA54F3" w:rsidRPr="001B02FE" w:rsidRDefault="00DA54F3" w:rsidP="00A535DB">
            <w:pPr>
              <w:tabs>
                <w:tab w:val="decimal" w:pos="1106"/>
              </w:tabs>
              <w:spacing w:after="0" w:line="240" w:lineRule="auto"/>
              <w:jc w:val="right"/>
              <w:rPr>
                <w:rFonts w:eastAsia="Times New Roman" w:cstheme="minorHAnsi"/>
                <w:b/>
                <w:sz w:val="20"/>
                <w:szCs w:val="20"/>
              </w:rPr>
            </w:pPr>
            <w:r w:rsidRPr="001B02FE">
              <w:rPr>
                <w:rFonts w:eastAsia="Times New Roman" w:cstheme="minorHAnsi"/>
                <w:b/>
                <w:sz w:val="20"/>
                <w:szCs w:val="20"/>
              </w:rPr>
              <w:t>1,551</w:t>
            </w:r>
          </w:p>
        </w:tc>
        <w:tc>
          <w:tcPr>
            <w:tcW w:w="1440" w:type="dxa"/>
          </w:tcPr>
          <w:p w14:paraId="25B04D4E" w14:textId="77777777" w:rsidR="00DA54F3" w:rsidRPr="001B02FE" w:rsidRDefault="00DA54F3" w:rsidP="00A535DB">
            <w:pPr>
              <w:tabs>
                <w:tab w:val="decimal" w:pos="1106"/>
              </w:tabs>
              <w:spacing w:after="0" w:line="240" w:lineRule="auto"/>
              <w:jc w:val="right"/>
              <w:rPr>
                <w:rFonts w:eastAsia="Times New Roman" w:cstheme="minorHAnsi"/>
                <w:bCs/>
                <w:sz w:val="20"/>
                <w:szCs w:val="20"/>
              </w:rPr>
            </w:pPr>
            <w:r w:rsidRPr="001B02FE">
              <w:rPr>
                <w:rFonts w:eastAsia="Times New Roman" w:cstheme="minorHAnsi"/>
                <w:bCs/>
                <w:sz w:val="20"/>
                <w:szCs w:val="20"/>
              </w:rPr>
              <w:t>2,164</w:t>
            </w:r>
          </w:p>
        </w:tc>
      </w:tr>
      <w:tr w:rsidR="00DA54F3" w:rsidRPr="001B02FE" w14:paraId="20B768F7" w14:textId="77777777" w:rsidTr="00A535DB">
        <w:trPr>
          <w:cantSplit/>
        </w:trPr>
        <w:tc>
          <w:tcPr>
            <w:tcW w:w="6690" w:type="dxa"/>
          </w:tcPr>
          <w:p w14:paraId="49CAD203"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Finished goods</w:t>
            </w:r>
          </w:p>
        </w:tc>
        <w:tc>
          <w:tcPr>
            <w:tcW w:w="1676" w:type="dxa"/>
            <w:vAlign w:val="bottom"/>
          </w:tcPr>
          <w:p w14:paraId="04E79B94" w14:textId="77777777" w:rsidR="00DA54F3" w:rsidRPr="001B02FE" w:rsidRDefault="00DA54F3" w:rsidP="00A535DB">
            <w:pPr>
              <w:tabs>
                <w:tab w:val="decimal" w:pos="1106"/>
              </w:tabs>
              <w:spacing w:after="0" w:line="240" w:lineRule="auto"/>
              <w:jc w:val="right"/>
              <w:rPr>
                <w:rFonts w:eastAsia="Times New Roman" w:cstheme="minorHAnsi"/>
                <w:b/>
                <w:sz w:val="20"/>
                <w:szCs w:val="20"/>
              </w:rPr>
            </w:pPr>
            <w:r w:rsidRPr="001B02FE">
              <w:rPr>
                <w:rFonts w:eastAsia="Times New Roman" w:cstheme="minorHAnsi"/>
                <w:b/>
                <w:sz w:val="20"/>
                <w:szCs w:val="20"/>
              </w:rPr>
              <w:t>4,590</w:t>
            </w:r>
          </w:p>
        </w:tc>
        <w:tc>
          <w:tcPr>
            <w:tcW w:w="1440" w:type="dxa"/>
            <w:vAlign w:val="bottom"/>
          </w:tcPr>
          <w:p w14:paraId="4448321D" w14:textId="77777777" w:rsidR="00DA54F3" w:rsidRPr="001B02FE" w:rsidRDefault="00DA54F3" w:rsidP="00A535DB">
            <w:pPr>
              <w:tabs>
                <w:tab w:val="decimal" w:pos="1106"/>
              </w:tabs>
              <w:spacing w:after="0" w:line="240" w:lineRule="auto"/>
              <w:jc w:val="right"/>
              <w:rPr>
                <w:rFonts w:eastAsia="Times New Roman" w:cstheme="minorHAnsi"/>
                <w:bCs/>
                <w:sz w:val="20"/>
                <w:szCs w:val="20"/>
              </w:rPr>
            </w:pPr>
            <w:r w:rsidRPr="001B02FE">
              <w:rPr>
                <w:rFonts w:eastAsia="Times New Roman" w:cstheme="minorHAnsi"/>
                <w:bCs/>
                <w:sz w:val="20"/>
                <w:szCs w:val="20"/>
              </w:rPr>
              <w:t>4,938</w:t>
            </w:r>
          </w:p>
        </w:tc>
      </w:tr>
      <w:tr w:rsidR="00DA54F3" w:rsidRPr="001B02FE" w14:paraId="31BEAF11" w14:textId="77777777" w:rsidTr="00A535DB">
        <w:trPr>
          <w:cantSplit/>
          <w:trHeight w:val="283"/>
        </w:trPr>
        <w:tc>
          <w:tcPr>
            <w:tcW w:w="6690" w:type="dxa"/>
            <w:tcBorders>
              <w:top w:val="single" w:sz="4" w:space="0" w:color="auto"/>
              <w:bottom w:val="single" w:sz="12" w:space="0" w:color="auto"/>
            </w:tcBorders>
            <w:vAlign w:val="center"/>
          </w:tcPr>
          <w:p w14:paraId="37428AD2" w14:textId="77777777" w:rsidR="00DA54F3" w:rsidRPr="001B02FE" w:rsidRDefault="00DA54F3" w:rsidP="00A535DB">
            <w:pPr>
              <w:spacing w:after="0" w:line="240" w:lineRule="auto"/>
              <w:rPr>
                <w:rFonts w:eastAsia="Times New Roman" w:cstheme="minorHAnsi"/>
                <w:sz w:val="20"/>
                <w:szCs w:val="20"/>
              </w:rPr>
            </w:pPr>
          </w:p>
        </w:tc>
        <w:tc>
          <w:tcPr>
            <w:tcW w:w="1676" w:type="dxa"/>
            <w:tcBorders>
              <w:top w:val="single" w:sz="4" w:space="0" w:color="auto"/>
              <w:bottom w:val="single" w:sz="12" w:space="0" w:color="auto"/>
            </w:tcBorders>
            <w:vAlign w:val="center"/>
          </w:tcPr>
          <w:p w14:paraId="0ED471E2" w14:textId="77777777" w:rsidR="00DA54F3" w:rsidRPr="001B02FE" w:rsidRDefault="00DA54F3" w:rsidP="00A535DB">
            <w:pPr>
              <w:keepNext/>
              <w:tabs>
                <w:tab w:val="decimal" w:pos="1106"/>
              </w:tabs>
              <w:spacing w:after="0" w:line="240" w:lineRule="auto"/>
              <w:jc w:val="right"/>
              <w:outlineLvl w:val="0"/>
              <w:rPr>
                <w:rFonts w:eastAsia="Times New Roman" w:cstheme="minorHAnsi"/>
                <w:b/>
                <w:sz w:val="20"/>
                <w:szCs w:val="20"/>
              </w:rPr>
            </w:pPr>
            <w:r w:rsidRPr="001B02FE">
              <w:rPr>
                <w:rFonts w:eastAsia="Times New Roman" w:cstheme="minorHAnsi"/>
                <w:b/>
                <w:sz w:val="20"/>
                <w:szCs w:val="20"/>
              </w:rPr>
              <w:t>6,141</w:t>
            </w:r>
          </w:p>
        </w:tc>
        <w:tc>
          <w:tcPr>
            <w:tcW w:w="1440" w:type="dxa"/>
            <w:tcBorders>
              <w:top w:val="single" w:sz="4" w:space="0" w:color="auto"/>
              <w:bottom w:val="single" w:sz="12" w:space="0" w:color="auto"/>
            </w:tcBorders>
            <w:vAlign w:val="center"/>
          </w:tcPr>
          <w:p w14:paraId="0721AB8B" w14:textId="77777777" w:rsidR="00DA54F3" w:rsidRPr="001B02FE" w:rsidRDefault="00DA54F3" w:rsidP="00A535DB">
            <w:pPr>
              <w:keepNext/>
              <w:tabs>
                <w:tab w:val="decimal" w:pos="1106"/>
              </w:tabs>
              <w:spacing w:after="0" w:line="240" w:lineRule="auto"/>
              <w:jc w:val="right"/>
              <w:outlineLvl w:val="0"/>
              <w:rPr>
                <w:rFonts w:eastAsia="Times New Roman" w:cstheme="minorHAnsi"/>
                <w:bCs/>
                <w:sz w:val="20"/>
                <w:szCs w:val="20"/>
              </w:rPr>
            </w:pPr>
            <w:r w:rsidRPr="001B02FE">
              <w:rPr>
                <w:rFonts w:eastAsia="Times New Roman" w:cstheme="minorHAnsi"/>
                <w:bCs/>
                <w:sz w:val="20"/>
                <w:szCs w:val="20"/>
              </w:rPr>
              <w:t>7,102</w:t>
            </w:r>
          </w:p>
        </w:tc>
      </w:tr>
    </w:tbl>
    <w:p w14:paraId="7B4EE229" w14:textId="77777777" w:rsidR="00DA54F3" w:rsidRPr="001B02FE" w:rsidRDefault="00DA54F3" w:rsidP="00DA54F3">
      <w:pPr>
        <w:autoSpaceDE w:val="0"/>
        <w:autoSpaceDN w:val="0"/>
        <w:adjustRightInd w:val="0"/>
        <w:spacing w:after="0" w:line="240" w:lineRule="auto"/>
        <w:jc w:val="both"/>
        <w:rPr>
          <w:rFonts w:eastAsia="Times New Roman" w:cstheme="minorHAnsi"/>
          <w:sz w:val="20"/>
          <w:szCs w:val="20"/>
          <w:lang w:eastAsia="en-GB"/>
        </w:rPr>
      </w:pPr>
    </w:p>
    <w:p w14:paraId="1C472792" w14:textId="77777777" w:rsidR="00DA54F3" w:rsidRPr="001B02FE" w:rsidRDefault="00DA54F3" w:rsidP="00DA54F3">
      <w:pPr>
        <w:autoSpaceDE w:val="0"/>
        <w:autoSpaceDN w:val="0"/>
        <w:jc w:val="both"/>
        <w:rPr>
          <w:rFonts w:cstheme="minorHAnsi"/>
          <w:sz w:val="20"/>
          <w:szCs w:val="20"/>
          <w:lang w:eastAsia="en-GB"/>
        </w:rPr>
      </w:pPr>
      <w:r w:rsidRPr="001B02FE">
        <w:rPr>
          <w:rFonts w:cstheme="minorHAnsi"/>
          <w:sz w:val="20"/>
          <w:szCs w:val="20"/>
          <w:lang w:eastAsia="en-GB"/>
        </w:rPr>
        <w:t xml:space="preserve">There is a provision of £131,000 included within inventories in relation to the impairment of inventories (31 December 2018 </w:t>
      </w:r>
      <w:r w:rsidRPr="001B02FE">
        <w:rPr>
          <w:rFonts w:cstheme="minorHAnsi"/>
          <w:b/>
          <w:bCs/>
          <w:sz w:val="20"/>
          <w:szCs w:val="20"/>
        </w:rPr>
        <w:t>–</w:t>
      </w:r>
      <w:r w:rsidRPr="001B02FE">
        <w:rPr>
          <w:rFonts w:cstheme="minorHAnsi"/>
          <w:sz w:val="20"/>
          <w:szCs w:val="20"/>
          <w:lang w:eastAsia="en-GB"/>
        </w:rPr>
        <w:t xml:space="preserve"> £116,000). During the period inventories of £28,236,000 (year ended 31 December -2018 £9,094,000) were recognised as an expense within cost of sales.</w:t>
      </w:r>
    </w:p>
    <w:p w14:paraId="70C5DC6F" w14:textId="77777777" w:rsidR="00DA54F3" w:rsidRPr="001B02FE" w:rsidRDefault="00DA54F3" w:rsidP="00DA54F3">
      <w:pPr>
        <w:autoSpaceDE w:val="0"/>
        <w:autoSpaceDN w:val="0"/>
        <w:adjustRightInd w:val="0"/>
        <w:spacing w:after="0" w:line="240" w:lineRule="auto"/>
        <w:jc w:val="both"/>
        <w:rPr>
          <w:rFonts w:eastAsia="Times New Roman" w:cstheme="minorHAnsi"/>
          <w:sz w:val="20"/>
          <w:szCs w:val="20"/>
          <w:lang w:eastAsia="en-GB"/>
        </w:rPr>
      </w:pPr>
    </w:p>
    <w:p w14:paraId="71A68AB4" w14:textId="77777777" w:rsidR="00DA54F3" w:rsidRPr="001B02FE" w:rsidRDefault="00DA54F3" w:rsidP="00DA54F3">
      <w:pPr>
        <w:spacing w:after="0" w:line="240" w:lineRule="auto"/>
        <w:jc w:val="both"/>
        <w:rPr>
          <w:rFonts w:eastAsia="Times New Roman" w:cstheme="minorHAnsi"/>
          <w:b/>
          <w:sz w:val="20"/>
          <w:szCs w:val="20"/>
        </w:rPr>
      </w:pPr>
    </w:p>
    <w:p w14:paraId="1D240950" w14:textId="6A884162" w:rsidR="00DA54F3" w:rsidRPr="001B02FE" w:rsidRDefault="002606D7" w:rsidP="00DA54F3">
      <w:pPr>
        <w:spacing w:after="0" w:line="240" w:lineRule="auto"/>
        <w:jc w:val="both"/>
        <w:rPr>
          <w:rFonts w:eastAsia="Times New Roman" w:cstheme="minorHAnsi"/>
          <w:b/>
          <w:sz w:val="20"/>
          <w:szCs w:val="20"/>
        </w:rPr>
      </w:pPr>
      <w:r w:rsidRPr="001B02FE">
        <w:rPr>
          <w:rFonts w:eastAsia="Times New Roman" w:cstheme="minorHAnsi"/>
          <w:b/>
          <w:sz w:val="20"/>
          <w:szCs w:val="20"/>
        </w:rPr>
        <w:t>9</w:t>
      </w:r>
      <w:r w:rsidR="00DA54F3" w:rsidRPr="001B02FE">
        <w:rPr>
          <w:rFonts w:eastAsia="Times New Roman" w:cstheme="minorHAnsi"/>
          <w:b/>
          <w:sz w:val="20"/>
          <w:szCs w:val="20"/>
        </w:rPr>
        <w:t>. Trade and other receivables</w:t>
      </w:r>
    </w:p>
    <w:tbl>
      <w:tblPr>
        <w:tblW w:w="9806" w:type="dxa"/>
        <w:tblInd w:w="56" w:type="dxa"/>
        <w:tblLayout w:type="fixed"/>
        <w:tblLook w:val="0000" w:firstRow="0" w:lastRow="0" w:firstColumn="0" w:lastColumn="0" w:noHBand="0" w:noVBand="0"/>
      </w:tblPr>
      <w:tblGrid>
        <w:gridCol w:w="6690"/>
        <w:gridCol w:w="1676"/>
        <w:gridCol w:w="1440"/>
      </w:tblGrid>
      <w:tr w:rsidR="00DA54F3" w:rsidRPr="001B02FE" w14:paraId="495C574F" w14:textId="77777777" w:rsidTr="00A535DB">
        <w:trPr>
          <w:cantSplit/>
        </w:trPr>
        <w:tc>
          <w:tcPr>
            <w:tcW w:w="6690" w:type="dxa"/>
            <w:vAlign w:val="bottom"/>
          </w:tcPr>
          <w:p w14:paraId="0A860786" w14:textId="77777777" w:rsidR="00DA54F3" w:rsidRPr="001B02FE" w:rsidRDefault="00DA54F3" w:rsidP="00A535DB">
            <w:pPr>
              <w:spacing w:after="0" w:line="240" w:lineRule="auto"/>
              <w:jc w:val="both"/>
              <w:rPr>
                <w:rFonts w:eastAsia="Times New Roman" w:cstheme="minorHAnsi"/>
                <w:sz w:val="20"/>
                <w:szCs w:val="20"/>
              </w:rPr>
            </w:pPr>
          </w:p>
        </w:tc>
        <w:tc>
          <w:tcPr>
            <w:tcW w:w="1676" w:type="dxa"/>
            <w:vAlign w:val="bottom"/>
          </w:tcPr>
          <w:p w14:paraId="52DB61C4" w14:textId="77777777" w:rsidR="00DA54F3" w:rsidRPr="001B02FE" w:rsidRDefault="00DA54F3" w:rsidP="00A535DB">
            <w:pPr>
              <w:tabs>
                <w:tab w:val="left" w:pos="1173"/>
              </w:tabs>
              <w:spacing w:after="0" w:line="240" w:lineRule="auto"/>
              <w:jc w:val="right"/>
              <w:rPr>
                <w:rFonts w:eastAsia="Times New Roman" w:cstheme="minorHAnsi"/>
                <w:b/>
                <w:sz w:val="20"/>
                <w:szCs w:val="20"/>
              </w:rPr>
            </w:pPr>
            <w:r w:rsidRPr="001B02FE">
              <w:rPr>
                <w:rFonts w:eastAsia="Times New Roman" w:cstheme="minorHAnsi"/>
                <w:b/>
                <w:sz w:val="20"/>
                <w:szCs w:val="20"/>
              </w:rPr>
              <w:t>31 December</w:t>
            </w:r>
          </w:p>
          <w:p w14:paraId="45427DFC" w14:textId="77777777" w:rsidR="00DA54F3" w:rsidRPr="001B02FE" w:rsidRDefault="00DA54F3" w:rsidP="00A535DB">
            <w:pPr>
              <w:tabs>
                <w:tab w:val="left" w:pos="1173"/>
              </w:tabs>
              <w:spacing w:after="0" w:line="240" w:lineRule="auto"/>
              <w:jc w:val="right"/>
              <w:rPr>
                <w:rFonts w:eastAsia="Times New Roman" w:cstheme="minorHAnsi"/>
                <w:b/>
                <w:sz w:val="20"/>
                <w:szCs w:val="20"/>
              </w:rPr>
            </w:pPr>
            <w:r w:rsidRPr="001B02FE">
              <w:rPr>
                <w:rFonts w:eastAsia="Times New Roman" w:cstheme="minorHAnsi"/>
                <w:b/>
                <w:sz w:val="20"/>
                <w:szCs w:val="20"/>
              </w:rPr>
              <w:t>2019</w:t>
            </w:r>
          </w:p>
        </w:tc>
        <w:tc>
          <w:tcPr>
            <w:tcW w:w="1440" w:type="dxa"/>
            <w:vAlign w:val="bottom"/>
          </w:tcPr>
          <w:p w14:paraId="22E807F6" w14:textId="77777777" w:rsidR="00DA54F3" w:rsidRPr="001B02FE" w:rsidRDefault="00DA54F3" w:rsidP="00A535DB">
            <w:pPr>
              <w:tabs>
                <w:tab w:val="left" w:pos="1173"/>
              </w:tabs>
              <w:spacing w:after="0" w:line="240" w:lineRule="auto"/>
              <w:jc w:val="right"/>
              <w:rPr>
                <w:rFonts w:eastAsia="Times New Roman" w:cstheme="minorHAnsi"/>
                <w:sz w:val="20"/>
                <w:szCs w:val="20"/>
              </w:rPr>
            </w:pPr>
            <w:r w:rsidRPr="001B02FE">
              <w:rPr>
                <w:rFonts w:eastAsia="Times New Roman" w:cstheme="minorHAnsi"/>
                <w:sz w:val="20"/>
                <w:szCs w:val="20"/>
              </w:rPr>
              <w:t>31 December</w:t>
            </w:r>
          </w:p>
          <w:p w14:paraId="3A8632EC" w14:textId="77777777" w:rsidR="00DA54F3" w:rsidRPr="001B02FE" w:rsidRDefault="00DA54F3" w:rsidP="00A535DB">
            <w:pPr>
              <w:keepNext/>
              <w:tabs>
                <w:tab w:val="decimal" w:pos="1202"/>
              </w:tabs>
              <w:spacing w:after="0" w:line="240" w:lineRule="auto"/>
              <w:jc w:val="right"/>
              <w:outlineLvl w:val="0"/>
              <w:rPr>
                <w:rFonts w:eastAsia="Times New Roman" w:cstheme="minorHAnsi"/>
                <w:sz w:val="20"/>
                <w:szCs w:val="20"/>
              </w:rPr>
            </w:pPr>
            <w:r w:rsidRPr="001B02FE">
              <w:rPr>
                <w:rFonts w:eastAsia="Times New Roman" w:cstheme="minorHAnsi"/>
                <w:sz w:val="20"/>
                <w:szCs w:val="20"/>
              </w:rPr>
              <w:t>2018</w:t>
            </w:r>
          </w:p>
        </w:tc>
      </w:tr>
      <w:tr w:rsidR="00DA54F3" w:rsidRPr="001B02FE" w14:paraId="67CEDB28" w14:textId="77777777" w:rsidTr="00A535DB">
        <w:trPr>
          <w:cantSplit/>
        </w:trPr>
        <w:tc>
          <w:tcPr>
            <w:tcW w:w="6690" w:type="dxa"/>
            <w:tcBorders>
              <w:bottom w:val="single" w:sz="4" w:space="0" w:color="auto"/>
            </w:tcBorders>
          </w:tcPr>
          <w:p w14:paraId="768E47CA" w14:textId="77777777" w:rsidR="00DA54F3" w:rsidRPr="001B02FE" w:rsidRDefault="00DA54F3" w:rsidP="00A535DB">
            <w:pPr>
              <w:spacing w:after="0" w:line="240" w:lineRule="auto"/>
              <w:jc w:val="both"/>
              <w:rPr>
                <w:rFonts w:eastAsia="Times New Roman" w:cstheme="minorHAnsi"/>
                <w:sz w:val="20"/>
                <w:szCs w:val="20"/>
              </w:rPr>
            </w:pPr>
          </w:p>
        </w:tc>
        <w:tc>
          <w:tcPr>
            <w:tcW w:w="1676" w:type="dxa"/>
            <w:tcBorders>
              <w:bottom w:val="single" w:sz="4" w:space="0" w:color="auto"/>
            </w:tcBorders>
          </w:tcPr>
          <w:p w14:paraId="4B650545" w14:textId="77777777" w:rsidR="00DA54F3" w:rsidRPr="001B02FE" w:rsidRDefault="00DA54F3" w:rsidP="00A535DB">
            <w:pPr>
              <w:tabs>
                <w:tab w:val="left" w:pos="1173"/>
              </w:tabs>
              <w:spacing w:after="0" w:line="240" w:lineRule="auto"/>
              <w:jc w:val="right"/>
              <w:rPr>
                <w:rFonts w:eastAsia="Times New Roman" w:cstheme="minorHAnsi"/>
                <w:b/>
                <w:sz w:val="20"/>
                <w:szCs w:val="20"/>
              </w:rPr>
            </w:pPr>
            <w:r w:rsidRPr="001B02FE">
              <w:rPr>
                <w:rFonts w:eastAsia="Times New Roman" w:cstheme="minorHAnsi"/>
                <w:b/>
                <w:sz w:val="20"/>
                <w:szCs w:val="20"/>
              </w:rPr>
              <w:t>£’000</w:t>
            </w:r>
          </w:p>
        </w:tc>
        <w:tc>
          <w:tcPr>
            <w:tcW w:w="1440" w:type="dxa"/>
            <w:tcBorders>
              <w:bottom w:val="single" w:sz="4" w:space="0" w:color="auto"/>
            </w:tcBorders>
          </w:tcPr>
          <w:p w14:paraId="7D880FB0" w14:textId="77777777" w:rsidR="00DA54F3" w:rsidRPr="001B02FE" w:rsidRDefault="00DA54F3" w:rsidP="00A535DB">
            <w:pPr>
              <w:keepNext/>
              <w:tabs>
                <w:tab w:val="decimal" w:pos="1202"/>
              </w:tabs>
              <w:spacing w:after="0" w:line="240" w:lineRule="auto"/>
              <w:jc w:val="right"/>
              <w:outlineLvl w:val="0"/>
              <w:rPr>
                <w:rFonts w:eastAsia="Times New Roman" w:cstheme="minorHAnsi"/>
                <w:sz w:val="20"/>
                <w:szCs w:val="20"/>
              </w:rPr>
            </w:pPr>
            <w:r w:rsidRPr="001B02FE">
              <w:rPr>
                <w:rFonts w:eastAsia="Times New Roman" w:cstheme="minorHAnsi"/>
                <w:sz w:val="20"/>
                <w:szCs w:val="20"/>
              </w:rPr>
              <w:t>£’000</w:t>
            </w:r>
          </w:p>
        </w:tc>
      </w:tr>
      <w:tr w:rsidR="00DA54F3" w:rsidRPr="001B02FE" w14:paraId="3974CFFA" w14:textId="77777777" w:rsidTr="00A535DB">
        <w:trPr>
          <w:cantSplit/>
        </w:trPr>
        <w:tc>
          <w:tcPr>
            <w:tcW w:w="6690" w:type="dxa"/>
            <w:tcBorders>
              <w:top w:val="single" w:sz="4" w:space="0" w:color="auto"/>
            </w:tcBorders>
          </w:tcPr>
          <w:p w14:paraId="05BA7011" w14:textId="77777777" w:rsidR="00DA54F3" w:rsidRPr="001B02FE" w:rsidRDefault="00DA54F3" w:rsidP="00A535DB">
            <w:pPr>
              <w:spacing w:after="0" w:line="240" w:lineRule="auto"/>
              <w:jc w:val="both"/>
              <w:rPr>
                <w:rFonts w:eastAsia="Times New Roman" w:cstheme="minorHAnsi"/>
                <w:sz w:val="20"/>
                <w:szCs w:val="20"/>
              </w:rPr>
            </w:pPr>
          </w:p>
        </w:tc>
        <w:tc>
          <w:tcPr>
            <w:tcW w:w="1676" w:type="dxa"/>
            <w:tcBorders>
              <w:top w:val="single" w:sz="4" w:space="0" w:color="auto"/>
            </w:tcBorders>
          </w:tcPr>
          <w:p w14:paraId="5C69EA2E" w14:textId="77777777" w:rsidR="00DA54F3" w:rsidRPr="001B02FE" w:rsidRDefault="00DA54F3" w:rsidP="00A535DB">
            <w:pPr>
              <w:keepNext/>
              <w:tabs>
                <w:tab w:val="decimal" w:pos="1202"/>
              </w:tabs>
              <w:spacing w:after="0" w:line="240" w:lineRule="auto"/>
              <w:jc w:val="right"/>
              <w:outlineLvl w:val="0"/>
              <w:rPr>
                <w:rFonts w:eastAsia="Times New Roman" w:cstheme="minorHAnsi"/>
                <w:b/>
                <w:sz w:val="20"/>
                <w:szCs w:val="20"/>
              </w:rPr>
            </w:pPr>
          </w:p>
        </w:tc>
        <w:tc>
          <w:tcPr>
            <w:tcW w:w="1440" w:type="dxa"/>
            <w:tcBorders>
              <w:top w:val="single" w:sz="4" w:space="0" w:color="auto"/>
            </w:tcBorders>
          </w:tcPr>
          <w:p w14:paraId="6649D4C7" w14:textId="77777777" w:rsidR="00DA54F3" w:rsidRPr="001B02FE" w:rsidRDefault="00DA54F3" w:rsidP="00A535DB">
            <w:pPr>
              <w:keepNext/>
              <w:tabs>
                <w:tab w:val="decimal" w:pos="1202"/>
              </w:tabs>
              <w:spacing w:after="0" w:line="240" w:lineRule="auto"/>
              <w:jc w:val="right"/>
              <w:outlineLvl w:val="0"/>
              <w:rPr>
                <w:rFonts w:eastAsia="Times New Roman" w:cstheme="minorHAnsi"/>
                <w:sz w:val="20"/>
                <w:szCs w:val="20"/>
              </w:rPr>
            </w:pPr>
          </w:p>
        </w:tc>
      </w:tr>
      <w:tr w:rsidR="00DA54F3" w:rsidRPr="001B02FE" w14:paraId="41BB5447" w14:textId="77777777" w:rsidTr="00A535DB">
        <w:trPr>
          <w:cantSplit/>
        </w:trPr>
        <w:tc>
          <w:tcPr>
            <w:tcW w:w="6690" w:type="dxa"/>
          </w:tcPr>
          <w:p w14:paraId="515B830F"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Trade receivables</w:t>
            </w:r>
          </w:p>
        </w:tc>
        <w:tc>
          <w:tcPr>
            <w:tcW w:w="1676" w:type="dxa"/>
          </w:tcPr>
          <w:p w14:paraId="3EBFBD1A" w14:textId="77777777" w:rsidR="00DA54F3" w:rsidRPr="001B02FE" w:rsidRDefault="00DA54F3" w:rsidP="00A535DB">
            <w:pPr>
              <w:keepNext/>
              <w:tabs>
                <w:tab w:val="decimal" w:pos="1458"/>
              </w:tabs>
              <w:spacing w:after="0" w:line="240" w:lineRule="auto"/>
              <w:ind w:left="-56" w:right="-140"/>
              <w:jc w:val="both"/>
              <w:outlineLvl w:val="0"/>
              <w:rPr>
                <w:rFonts w:eastAsia="Times New Roman" w:cstheme="minorHAnsi"/>
                <w:b/>
                <w:sz w:val="20"/>
                <w:szCs w:val="20"/>
              </w:rPr>
            </w:pPr>
            <w:r w:rsidRPr="001B02FE">
              <w:rPr>
                <w:rFonts w:eastAsia="Times New Roman" w:cstheme="minorHAnsi"/>
                <w:b/>
                <w:sz w:val="20"/>
                <w:szCs w:val="20"/>
              </w:rPr>
              <w:t>9,415</w:t>
            </w:r>
          </w:p>
        </w:tc>
        <w:tc>
          <w:tcPr>
            <w:tcW w:w="1440" w:type="dxa"/>
          </w:tcPr>
          <w:p w14:paraId="5CC66270" w14:textId="77777777" w:rsidR="00DA54F3" w:rsidRPr="001B02FE" w:rsidRDefault="00DA54F3" w:rsidP="00A535DB">
            <w:pPr>
              <w:keepNext/>
              <w:tabs>
                <w:tab w:val="decimal" w:pos="1246"/>
              </w:tabs>
              <w:spacing w:after="0" w:line="240" w:lineRule="auto"/>
              <w:ind w:left="-56" w:right="-140"/>
              <w:jc w:val="both"/>
              <w:outlineLvl w:val="0"/>
              <w:rPr>
                <w:rFonts w:eastAsia="Times New Roman" w:cstheme="minorHAnsi"/>
                <w:sz w:val="20"/>
                <w:szCs w:val="20"/>
              </w:rPr>
            </w:pPr>
            <w:r w:rsidRPr="001B02FE">
              <w:rPr>
                <w:rFonts w:eastAsia="Times New Roman" w:cstheme="minorHAnsi"/>
                <w:sz w:val="20"/>
                <w:szCs w:val="20"/>
              </w:rPr>
              <w:t>7,513</w:t>
            </w:r>
          </w:p>
        </w:tc>
      </w:tr>
      <w:tr w:rsidR="00DA54F3" w:rsidRPr="001B02FE" w14:paraId="5115B9E2" w14:textId="77777777" w:rsidTr="00A535DB">
        <w:trPr>
          <w:cantSplit/>
        </w:trPr>
        <w:tc>
          <w:tcPr>
            <w:tcW w:w="6690" w:type="dxa"/>
            <w:tcBorders>
              <w:bottom w:val="single" w:sz="4" w:space="0" w:color="auto"/>
            </w:tcBorders>
          </w:tcPr>
          <w:p w14:paraId="4A9D0FB8"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Less: provision for impairment of trade receivables</w:t>
            </w:r>
          </w:p>
        </w:tc>
        <w:tc>
          <w:tcPr>
            <w:tcW w:w="1676" w:type="dxa"/>
            <w:tcBorders>
              <w:bottom w:val="single" w:sz="4" w:space="0" w:color="auto"/>
            </w:tcBorders>
          </w:tcPr>
          <w:p w14:paraId="0670DD37" w14:textId="77777777" w:rsidR="00DA54F3" w:rsidRPr="001B02FE" w:rsidRDefault="00DA54F3" w:rsidP="00A535DB">
            <w:pPr>
              <w:keepNext/>
              <w:tabs>
                <w:tab w:val="decimal" w:pos="1458"/>
              </w:tabs>
              <w:spacing w:after="0" w:line="240" w:lineRule="auto"/>
              <w:ind w:left="-56" w:right="-140"/>
              <w:jc w:val="both"/>
              <w:outlineLvl w:val="0"/>
              <w:rPr>
                <w:rFonts w:eastAsia="Times New Roman" w:cstheme="minorHAnsi"/>
                <w:b/>
                <w:sz w:val="20"/>
                <w:szCs w:val="20"/>
              </w:rPr>
            </w:pPr>
            <w:r w:rsidRPr="001B02FE">
              <w:rPr>
                <w:rFonts w:eastAsia="Times New Roman" w:cstheme="minorHAnsi"/>
                <w:b/>
                <w:sz w:val="20"/>
                <w:szCs w:val="20"/>
              </w:rPr>
              <w:t>(51)</w:t>
            </w:r>
          </w:p>
        </w:tc>
        <w:tc>
          <w:tcPr>
            <w:tcW w:w="1440" w:type="dxa"/>
            <w:tcBorders>
              <w:bottom w:val="single" w:sz="4" w:space="0" w:color="auto"/>
            </w:tcBorders>
          </w:tcPr>
          <w:p w14:paraId="32E33284" w14:textId="77777777" w:rsidR="00DA54F3" w:rsidRPr="001B02FE" w:rsidRDefault="00DA54F3" w:rsidP="00A535DB">
            <w:pPr>
              <w:keepNext/>
              <w:tabs>
                <w:tab w:val="decimal" w:pos="1246"/>
              </w:tabs>
              <w:spacing w:after="0" w:line="240" w:lineRule="auto"/>
              <w:ind w:left="-56" w:right="-140"/>
              <w:jc w:val="both"/>
              <w:outlineLvl w:val="0"/>
              <w:rPr>
                <w:rFonts w:eastAsia="Times New Roman" w:cstheme="minorHAnsi"/>
                <w:sz w:val="20"/>
                <w:szCs w:val="20"/>
              </w:rPr>
            </w:pPr>
            <w:r w:rsidRPr="001B02FE">
              <w:rPr>
                <w:rFonts w:eastAsia="Times New Roman" w:cstheme="minorHAnsi"/>
                <w:sz w:val="20"/>
                <w:szCs w:val="20"/>
              </w:rPr>
              <w:t>(43)</w:t>
            </w:r>
          </w:p>
        </w:tc>
      </w:tr>
      <w:tr w:rsidR="00DA54F3" w:rsidRPr="001B02FE" w14:paraId="4ED54B3D" w14:textId="77777777" w:rsidTr="00A535DB">
        <w:trPr>
          <w:cantSplit/>
        </w:trPr>
        <w:tc>
          <w:tcPr>
            <w:tcW w:w="6690" w:type="dxa"/>
          </w:tcPr>
          <w:p w14:paraId="4988FB54"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Trade receivables – net</w:t>
            </w:r>
          </w:p>
        </w:tc>
        <w:tc>
          <w:tcPr>
            <w:tcW w:w="1676" w:type="dxa"/>
          </w:tcPr>
          <w:p w14:paraId="271E9265" w14:textId="77777777" w:rsidR="00DA54F3" w:rsidRPr="001B02FE" w:rsidRDefault="00DA54F3" w:rsidP="00A535DB">
            <w:pPr>
              <w:keepNext/>
              <w:tabs>
                <w:tab w:val="decimal" w:pos="1458"/>
              </w:tabs>
              <w:spacing w:after="0" w:line="240" w:lineRule="auto"/>
              <w:ind w:left="-56" w:right="-140"/>
              <w:jc w:val="both"/>
              <w:outlineLvl w:val="0"/>
              <w:rPr>
                <w:rFonts w:eastAsia="Times New Roman" w:cstheme="minorHAnsi"/>
                <w:b/>
                <w:sz w:val="20"/>
                <w:szCs w:val="20"/>
              </w:rPr>
            </w:pPr>
            <w:r w:rsidRPr="001B02FE">
              <w:rPr>
                <w:rFonts w:eastAsia="Times New Roman" w:cstheme="minorHAnsi"/>
                <w:b/>
                <w:sz w:val="20"/>
                <w:szCs w:val="20"/>
              </w:rPr>
              <w:t>9,364</w:t>
            </w:r>
          </w:p>
        </w:tc>
        <w:tc>
          <w:tcPr>
            <w:tcW w:w="1440" w:type="dxa"/>
          </w:tcPr>
          <w:p w14:paraId="5AE2EE1A" w14:textId="77777777" w:rsidR="00DA54F3" w:rsidRPr="001B02FE" w:rsidRDefault="00DA54F3" w:rsidP="00A535DB">
            <w:pPr>
              <w:keepNext/>
              <w:tabs>
                <w:tab w:val="decimal" w:pos="1246"/>
              </w:tabs>
              <w:spacing w:after="0" w:line="240" w:lineRule="auto"/>
              <w:ind w:left="-56" w:right="-140"/>
              <w:jc w:val="both"/>
              <w:outlineLvl w:val="0"/>
              <w:rPr>
                <w:rFonts w:eastAsia="Times New Roman" w:cstheme="minorHAnsi"/>
                <w:sz w:val="20"/>
                <w:szCs w:val="20"/>
              </w:rPr>
            </w:pPr>
            <w:r w:rsidRPr="001B02FE">
              <w:rPr>
                <w:rFonts w:eastAsia="Times New Roman" w:cstheme="minorHAnsi"/>
                <w:sz w:val="20"/>
                <w:szCs w:val="20"/>
              </w:rPr>
              <w:t>7,470</w:t>
            </w:r>
          </w:p>
        </w:tc>
      </w:tr>
      <w:tr w:rsidR="00DA54F3" w:rsidRPr="001B02FE" w14:paraId="008BAD6A" w14:textId="77777777" w:rsidTr="00A535DB">
        <w:trPr>
          <w:cantSplit/>
        </w:trPr>
        <w:tc>
          <w:tcPr>
            <w:tcW w:w="6690" w:type="dxa"/>
            <w:tcBorders>
              <w:bottom w:val="single" w:sz="4" w:space="0" w:color="auto"/>
            </w:tcBorders>
          </w:tcPr>
          <w:p w14:paraId="67B43D4C"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Other receivables</w:t>
            </w:r>
          </w:p>
        </w:tc>
        <w:tc>
          <w:tcPr>
            <w:tcW w:w="1676" w:type="dxa"/>
            <w:tcBorders>
              <w:bottom w:val="single" w:sz="4" w:space="0" w:color="auto"/>
            </w:tcBorders>
          </w:tcPr>
          <w:p w14:paraId="08A07A29" w14:textId="77777777" w:rsidR="00DA54F3" w:rsidRPr="001B02FE" w:rsidRDefault="00DA54F3" w:rsidP="00A535DB">
            <w:pPr>
              <w:keepNext/>
              <w:tabs>
                <w:tab w:val="decimal" w:pos="1458"/>
              </w:tabs>
              <w:spacing w:after="0" w:line="240" w:lineRule="auto"/>
              <w:ind w:left="-56" w:right="-140"/>
              <w:jc w:val="both"/>
              <w:outlineLvl w:val="0"/>
              <w:rPr>
                <w:rFonts w:eastAsia="Times New Roman" w:cstheme="minorHAnsi"/>
                <w:b/>
                <w:sz w:val="20"/>
                <w:szCs w:val="20"/>
              </w:rPr>
            </w:pPr>
            <w:r w:rsidRPr="001B02FE">
              <w:rPr>
                <w:rFonts w:eastAsia="Times New Roman" w:cstheme="minorHAnsi"/>
                <w:b/>
                <w:sz w:val="20"/>
                <w:szCs w:val="20"/>
              </w:rPr>
              <w:t>517</w:t>
            </w:r>
          </w:p>
        </w:tc>
        <w:tc>
          <w:tcPr>
            <w:tcW w:w="1440" w:type="dxa"/>
            <w:tcBorders>
              <w:bottom w:val="single" w:sz="4" w:space="0" w:color="auto"/>
            </w:tcBorders>
          </w:tcPr>
          <w:p w14:paraId="0F7B1971" w14:textId="77777777" w:rsidR="00DA54F3" w:rsidRPr="001B02FE" w:rsidRDefault="00DA54F3" w:rsidP="00A535DB">
            <w:pPr>
              <w:keepNext/>
              <w:tabs>
                <w:tab w:val="decimal" w:pos="1246"/>
              </w:tabs>
              <w:spacing w:after="0" w:line="240" w:lineRule="auto"/>
              <w:ind w:left="-56" w:right="-140"/>
              <w:jc w:val="both"/>
              <w:outlineLvl w:val="0"/>
              <w:rPr>
                <w:rFonts w:eastAsia="Times New Roman" w:cstheme="minorHAnsi"/>
                <w:sz w:val="20"/>
                <w:szCs w:val="20"/>
              </w:rPr>
            </w:pPr>
            <w:r w:rsidRPr="001B02FE">
              <w:rPr>
                <w:rFonts w:eastAsia="Times New Roman" w:cstheme="minorHAnsi"/>
                <w:sz w:val="20"/>
                <w:szCs w:val="20"/>
              </w:rPr>
              <w:t>480</w:t>
            </w:r>
          </w:p>
        </w:tc>
      </w:tr>
      <w:tr w:rsidR="00DA54F3" w:rsidRPr="001B02FE" w14:paraId="28841E49" w14:textId="77777777" w:rsidTr="00A535DB">
        <w:trPr>
          <w:cantSplit/>
        </w:trPr>
        <w:tc>
          <w:tcPr>
            <w:tcW w:w="6690" w:type="dxa"/>
            <w:tcBorders>
              <w:top w:val="single" w:sz="4" w:space="0" w:color="auto"/>
            </w:tcBorders>
          </w:tcPr>
          <w:p w14:paraId="0988792D" w14:textId="77777777" w:rsidR="00DA54F3" w:rsidRPr="001B02FE" w:rsidRDefault="00DA54F3" w:rsidP="00A535DB">
            <w:pPr>
              <w:spacing w:after="0" w:line="240" w:lineRule="auto"/>
              <w:jc w:val="both"/>
              <w:rPr>
                <w:rFonts w:eastAsia="Times New Roman" w:cstheme="minorHAnsi"/>
                <w:b/>
                <w:sz w:val="20"/>
                <w:szCs w:val="20"/>
              </w:rPr>
            </w:pPr>
            <w:r w:rsidRPr="001B02FE">
              <w:rPr>
                <w:rFonts w:eastAsia="Times New Roman" w:cstheme="minorHAnsi"/>
                <w:b/>
                <w:sz w:val="20"/>
                <w:szCs w:val="20"/>
              </w:rPr>
              <w:t>Total financial assets other than cash and cash equivalents classified as amortised cost</w:t>
            </w:r>
          </w:p>
        </w:tc>
        <w:tc>
          <w:tcPr>
            <w:tcW w:w="1676" w:type="dxa"/>
            <w:tcBorders>
              <w:top w:val="single" w:sz="4" w:space="0" w:color="auto"/>
            </w:tcBorders>
            <w:vAlign w:val="center"/>
          </w:tcPr>
          <w:p w14:paraId="539D79A1" w14:textId="77777777" w:rsidR="00DA54F3" w:rsidRPr="001B02FE" w:rsidRDefault="00DA54F3" w:rsidP="00A535DB">
            <w:pPr>
              <w:keepNext/>
              <w:tabs>
                <w:tab w:val="decimal" w:pos="1458"/>
              </w:tabs>
              <w:spacing w:after="0" w:line="240" w:lineRule="auto"/>
              <w:ind w:left="-56" w:right="-140"/>
              <w:jc w:val="both"/>
              <w:outlineLvl w:val="0"/>
              <w:rPr>
                <w:rFonts w:eastAsia="Times New Roman" w:cstheme="minorHAnsi"/>
                <w:b/>
                <w:sz w:val="20"/>
                <w:szCs w:val="20"/>
              </w:rPr>
            </w:pPr>
            <w:r w:rsidRPr="001B02FE">
              <w:rPr>
                <w:rFonts w:eastAsia="Times New Roman" w:cstheme="minorHAnsi"/>
                <w:b/>
                <w:sz w:val="20"/>
                <w:szCs w:val="20"/>
              </w:rPr>
              <w:t>9,881</w:t>
            </w:r>
          </w:p>
        </w:tc>
        <w:tc>
          <w:tcPr>
            <w:tcW w:w="1440" w:type="dxa"/>
            <w:tcBorders>
              <w:top w:val="single" w:sz="4" w:space="0" w:color="auto"/>
            </w:tcBorders>
            <w:vAlign w:val="center"/>
          </w:tcPr>
          <w:p w14:paraId="5B50095D" w14:textId="77777777" w:rsidR="00DA54F3" w:rsidRPr="001B02FE" w:rsidRDefault="00DA54F3" w:rsidP="00A535DB">
            <w:pPr>
              <w:keepNext/>
              <w:tabs>
                <w:tab w:val="decimal" w:pos="1246"/>
              </w:tabs>
              <w:spacing w:after="0" w:line="240" w:lineRule="auto"/>
              <w:ind w:left="-56" w:right="-140"/>
              <w:jc w:val="both"/>
              <w:outlineLvl w:val="0"/>
              <w:rPr>
                <w:rFonts w:eastAsia="Times New Roman" w:cstheme="minorHAnsi"/>
                <w:sz w:val="20"/>
                <w:szCs w:val="20"/>
              </w:rPr>
            </w:pPr>
            <w:r w:rsidRPr="001B02FE">
              <w:rPr>
                <w:rFonts w:eastAsia="Times New Roman" w:cstheme="minorHAnsi"/>
                <w:sz w:val="20"/>
                <w:szCs w:val="20"/>
              </w:rPr>
              <w:t>7,950</w:t>
            </w:r>
          </w:p>
        </w:tc>
      </w:tr>
      <w:tr w:rsidR="00DA54F3" w:rsidRPr="001B02FE" w14:paraId="635C332F" w14:textId="77777777" w:rsidTr="00A535DB">
        <w:trPr>
          <w:cantSplit/>
        </w:trPr>
        <w:tc>
          <w:tcPr>
            <w:tcW w:w="6690" w:type="dxa"/>
            <w:tcBorders>
              <w:bottom w:val="single" w:sz="4" w:space="0" w:color="auto"/>
            </w:tcBorders>
          </w:tcPr>
          <w:p w14:paraId="6F8AA6C4"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Prepayments and accrued income</w:t>
            </w:r>
          </w:p>
        </w:tc>
        <w:tc>
          <w:tcPr>
            <w:tcW w:w="1676" w:type="dxa"/>
            <w:tcBorders>
              <w:bottom w:val="single" w:sz="4" w:space="0" w:color="auto"/>
            </w:tcBorders>
          </w:tcPr>
          <w:p w14:paraId="352C9BA6" w14:textId="77777777" w:rsidR="00DA54F3" w:rsidRPr="001B02FE" w:rsidRDefault="00DA54F3" w:rsidP="00A535DB">
            <w:pPr>
              <w:keepNext/>
              <w:tabs>
                <w:tab w:val="decimal" w:pos="1458"/>
              </w:tabs>
              <w:spacing w:after="0" w:line="240" w:lineRule="auto"/>
              <w:ind w:left="-56" w:right="-140"/>
              <w:jc w:val="both"/>
              <w:outlineLvl w:val="0"/>
              <w:rPr>
                <w:rFonts w:eastAsia="Times New Roman" w:cstheme="minorHAnsi"/>
                <w:b/>
                <w:sz w:val="20"/>
                <w:szCs w:val="20"/>
              </w:rPr>
            </w:pPr>
            <w:r w:rsidRPr="001B02FE">
              <w:rPr>
                <w:rFonts w:eastAsia="Times New Roman" w:cstheme="minorHAnsi"/>
                <w:b/>
                <w:sz w:val="20"/>
                <w:szCs w:val="20"/>
              </w:rPr>
              <w:t>1,046</w:t>
            </w:r>
          </w:p>
        </w:tc>
        <w:tc>
          <w:tcPr>
            <w:tcW w:w="1440" w:type="dxa"/>
            <w:tcBorders>
              <w:bottom w:val="single" w:sz="4" w:space="0" w:color="auto"/>
            </w:tcBorders>
          </w:tcPr>
          <w:p w14:paraId="0B5BFF42" w14:textId="77777777" w:rsidR="00DA54F3" w:rsidRPr="001B02FE" w:rsidRDefault="00DA54F3" w:rsidP="00A535DB">
            <w:pPr>
              <w:keepNext/>
              <w:tabs>
                <w:tab w:val="decimal" w:pos="1246"/>
              </w:tabs>
              <w:spacing w:after="0" w:line="240" w:lineRule="auto"/>
              <w:ind w:left="-56" w:right="-140"/>
              <w:jc w:val="both"/>
              <w:outlineLvl w:val="0"/>
              <w:rPr>
                <w:rFonts w:eastAsia="Times New Roman" w:cstheme="minorHAnsi"/>
                <w:sz w:val="20"/>
                <w:szCs w:val="20"/>
              </w:rPr>
            </w:pPr>
            <w:r w:rsidRPr="001B02FE">
              <w:rPr>
                <w:rFonts w:eastAsia="Times New Roman" w:cstheme="minorHAnsi"/>
                <w:sz w:val="20"/>
                <w:szCs w:val="20"/>
              </w:rPr>
              <w:t>989</w:t>
            </w:r>
          </w:p>
        </w:tc>
      </w:tr>
      <w:tr w:rsidR="00DA54F3" w:rsidRPr="001B02FE" w14:paraId="3FB3189C" w14:textId="77777777" w:rsidTr="00A535DB">
        <w:trPr>
          <w:cantSplit/>
          <w:trHeight w:val="283"/>
        </w:trPr>
        <w:tc>
          <w:tcPr>
            <w:tcW w:w="6690" w:type="dxa"/>
            <w:tcBorders>
              <w:top w:val="single" w:sz="4" w:space="0" w:color="auto"/>
              <w:bottom w:val="single" w:sz="12" w:space="0" w:color="auto"/>
            </w:tcBorders>
            <w:vAlign w:val="center"/>
          </w:tcPr>
          <w:p w14:paraId="6324725B" w14:textId="77777777" w:rsidR="00DA54F3" w:rsidRPr="001B02FE" w:rsidRDefault="00DA54F3" w:rsidP="00A535DB">
            <w:pPr>
              <w:spacing w:after="0" w:line="240" w:lineRule="auto"/>
              <w:rPr>
                <w:rFonts w:eastAsia="Times New Roman" w:cstheme="minorHAnsi"/>
                <w:b/>
                <w:sz w:val="20"/>
                <w:szCs w:val="20"/>
              </w:rPr>
            </w:pPr>
            <w:r w:rsidRPr="001B02FE">
              <w:rPr>
                <w:rFonts w:eastAsia="Times New Roman" w:cstheme="minorHAnsi"/>
                <w:b/>
                <w:sz w:val="20"/>
                <w:szCs w:val="20"/>
              </w:rPr>
              <w:t>Total trade and other receivables</w:t>
            </w:r>
          </w:p>
        </w:tc>
        <w:tc>
          <w:tcPr>
            <w:tcW w:w="1676" w:type="dxa"/>
            <w:tcBorders>
              <w:top w:val="single" w:sz="4" w:space="0" w:color="auto"/>
              <w:bottom w:val="single" w:sz="12" w:space="0" w:color="auto"/>
            </w:tcBorders>
            <w:vAlign w:val="center"/>
          </w:tcPr>
          <w:p w14:paraId="0843F690" w14:textId="77777777" w:rsidR="00DA54F3" w:rsidRPr="001B02FE" w:rsidRDefault="00DA54F3" w:rsidP="00A535DB">
            <w:pPr>
              <w:keepNext/>
              <w:tabs>
                <w:tab w:val="decimal" w:pos="1458"/>
              </w:tabs>
              <w:spacing w:after="0" w:line="240" w:lineRule="auto"/>
              <w:ind w:left="-56"/>
              <w:jc w:val="right"/>
              <w:outlineLvl w:val="0"/>
              <w:rPr>
                <w:rFonts w:eastAsia="Times New Roman" w:cstheme="minorHAnsi"/>
                <w:b/>
                <w:sz w:val="20"/>
                <w:szCs w:val="20"/>
              </w:rPr>
            </w:pPr>
            <w:r w:rsidRPr="001B02FE">
              <w:rPr>
                <w:rFonts w:eastAsia="Times New Roman" w:cstheme="minorHAnsi"/>
                <w:b/>
                <w:sz w:val="20"/>
                <w:szCs w:val="20"/>
              </w:rPr>
              <w:t>10,927</w:t>
            </w:r>
          </w:p>
        </w:tc>
        <w:tc>
          <w:tcPr>
            <w:tcW w:w="1440" w:type="dxa"/>
            <w:tcBorders>
              <w:top w:val="single" w:sz="4" w:space="0" w:color="auto"/>
              <w:bottom w:val="single" w:sz="12" w:space="0" w:color="auto"/>
            </w:tcBorders>
            <w:vAlign w:val="center"/>
          </w:tcPr>
          <w:p w14:paraId="32569C33" w14:textId="77777777" w:rsidR="00DA54F3" w:rsidRPr="001B02FE" w:rsidRDefault="00DA54F3" w:rsidP="00A535DB">
            <w:pPr>
              <w:keepNext/>
              <w:tabs>
                <w:tab w:val="decimal" w:pos="1246"/>
              </w:tabs>
              <w:spacing w:after="0" w:line="240" w:lineRule="auto"/>
              <w:ind w:left="-56"/>
              <w:jc w:val="right"/>
              <w:outlineLvl w:val="0"/>
              <w:rPr>
                <w:rFonts w:eastAsia="Times New Roman" w:cstheme="minorHAnsi"/>
                <w:sz w:val="20"/>
                <w:szCs w:val="20"/>
              </w:rPr>
            </w:pPr>
            <w:r w:rsidRPr="001B02FE">
              <w:rPr>
                <w:rFonts w:eastAsia="Times New Roman" w:cstheme="minorHAnsi"/>
                <w:sz w:val="20"/>
                <w:szCs w:val="20"/>
                <w:lang w:eastAsia="en-GB"/>
              </w:rPr>
              <w:t>8,939</w:t>
            </w:r>
          </w:p>
        </w:tc>
      </w:tr>
    </w:tbl>
    <w:p w14:paraId="54C3E878" w14:textId="77777777" w:rsidR="00DA54F3" w:rsidRPr="001B02FE" w:rsidRDefault="00DA54F3" w:rsidP="00DA54F3">
      <w:pPr>
        <w:spacing w:after="0" w:line="240" w:lineRule="auto"/>
        <w:jc w:val="both"/>
        <w:outlineLvl w:val="0"/>
        <w:rPr>
          <w:rFonts w:eastAsia="Times New Roman" w:cstheme="minorHAnsi"/>
          <w:sz w:val="20"/>
          <w:szCs w:val="20"/>
        </w:rPr>
      </w:pPr>
    </w:p>
    <w:p w14:paraId="7ABA2E97" w14:textId="77777777" w:rsidR="00DA54F3" w:rsidRPr="001B02FE" w:rsidRDefault="00DA54F3" w:rsidP="00DA54F3">
      <w:pPr>
        <w:spacing w:after="0" w:line="240" w:lineRule="auto"/>
        <w:jc w:val="both"/>
        <w:outlineLvl w:val="0"/>
        <w:rPr>
          <w:rFonts w:eastAsia="Times New Roman" w:cstheme="minorHAnsi"/>
          <w:sz w:val="20"/>
          <w:szCs w:val="20"/>
        </w:rPr>
      </w:pPr>
      <w:r w:rsidRPr="001B02FE">
        <w:rPr>
          <w:rFonts w:eastAsia="Times New Roman" w:cstheme="minorHAnsi"/>
          <w:sz w:val="20"/>
          <w:szCs w:val="20"/>
        </w:rPr>
        <w:t xml:space="preserve">Trade receivables represent debts due for the sale of goods to customers. </w:t>
      </w:r>
    </w:p>
    <w:p w14:paraId="539A3F61" w14:textId="77777777" w:rsidR="00DA54F3" w:rsidRPr="001B02FE" w:rsidRDefault="00DA54F3" w:rsidP="00DA54F3">
      <w:pPr>
        <w:spacing w:after="0" w:line="240" w:lineRule="auto"/>
        <w:jc w:val="both"/>
        <w:outlineLvl w:val="0"/>
        <w:rPr>
          <w:rFonts w:eastAsia="Times New Roman" w:cstheme="minorHAnsi"/>
          <w:sz w:val="20"/>
          <w:szCs w:val="20"/>
        </w:rPr>
      </w:pPr>
    </w:p>
    <w:p w14:paraId="5F7E5510" w14:textId="77777777" w:rsidR="00DA54F3" w:rsidRPr="001B02FE" w:rsidRDefault="00DA54F3" w:rsidP="00DA54F3">
      <w:pPr>
        <w:spacing w:after="0" w:line="240" w:lineRule="auto"/>
        <w:jc w:val="both"/>
        <w:outlineLvl w:val="0"/>
        <w:rPr>
          <w:rFonts w:eastAsia="Times New Roman" w:cstheme="minorHAnsi"/>
          <w:sz w:val="20"/>
          <w:szCs w:val="20"/>
        </w:rPr>
      </w:pPr>
      <w:r w:rsidRPr="001B02FE">
        <w:rPr>
          <w:rFonts w:eastAsia="Times New Roman" w:cstheme="minorHAnsi"/>
          <w:sz w:val="20"/>
          <w:szCs w:val="20"/>
        </w:rPr>
        <w:t>Trade receivables are denominated in local currency of the operating entity and converted to Sterling at the prevailing exchange rate as at 31 December 2019. The Directors consider that the carrying amount of these receivables approximates to their fair value. All amounts shown under receivables fall due for payment within one year. The Group does not hold any collateral as security.</w:t>
      </w:r>
    </w:p>
    <w:p w14:paraId="0C922513" w14:textId="77777777" w:rsidR="00DA54F3" w:rsidRPr="001B02FE" w:rsidRDefault="00DA54F3" w:rsidP="00DA54F3">
      <w:pPr>
        <w:spacing w:after="0" w:line="240" w:lineRule="auto"/>
        <w:jc w:val="both"/>
        <w:rPr>
          <w:rFonts w:eastAsia="Times New Roman" w:cstheme="minorHAnsi"/>
          <w:sz w:val="20"/>
          <w:szCs w:val="20"/>
        </w:rPr>
      </w:pPr>
    </w:p>
    <w:p w14:paraId="5DA510B5" w14:textId="77777777" w:rsidR="00DA54F3" w:rsidRPr="001B02FE" w:rsidRDefault="00DA54F3" w:rsidP="00DA54F3">
      <w:pPr>
        <w:autoSpaceDE w:val="0"/>
        <w:autoSpaceDN w:val="0"/>
        <w:adjustRightInd w:val="0"/>
        <w:spacing w:after="0" w:line="240" w:lineRule="auto"/>
        <w:jc w:val="both"/>
        <w:rPr>
          <w:rFonts w:cstheme="minorHAnsi"/>
          <w:sz w:val="20"/>
          <w:szCs w:val="20"/>
        </w:rPr>
      </w:pPr>
      <w:r w:rsidRPr="001B02FE">
        <w:rPr>
          <w:rFonts w:cstheme="minorHAnsi"/>
          <w:sz w:val="20"/>
          <w:szCs w:val="20"/>
        </w:rPr>
        <w:t xml:space="preserve">The Group applies the IFRS 9 simplified approach to measuring expected credit losses using a lifetime expected credit loss provision for trade receivables and contract assets. To measure expected credit losses on a collective basis, trade receivables and contract assets are grouped based on similar credit risk and aging. </w:t>
      </w:r>
    </w:p>
    <w:p w14:paraId="207EE28C" w14:textId="77777777" w:rsidR="00DA54F3" w:rsidRPr="001B02FE" w:rsidRDefault="00DA54F3" w:rsidP="00DA54F3">
      <w:pPr>
        <w:autoSpaceDE w:val="0"/>
        <w:autoSpaceDN w:val="0"/>
        <w:adjustRightInd w:val="0"/>
        <w:spacing w:after="0" w:line="240" w:lineRule="auto"/>
        <w:rPr>
          <w:rFonts w:cstheme="minorHAnsi"/>
          <w:sz w:val="20"/>
          <w:szCs w:val="20"/>
        </w:rPr>
      </w:pPr>
    </w:p>
    <w:p w14:paraId="3EC5D2D3" w14:textId="77777777" w:rsidR="00DA54F3" w:rsidRPr="001B02FE" w:rsidRDefault="00DA54F3" w:rsidP="00DA54F3">
      <w:pPr>
        <w:autoSpaceDE w:val="0"/>
        <w:autoSpaceDN w:val="0"/>
        <w:adjustRightInd w:val="0"/>
        <w:spacing w:after="0" w:line="240" w:lineRule="auto"/>
        <w:jc w:val="both"/>
        <w:rPr>
          <w:rFonts w:cstheme="minorHAnsi"/>
          <w:sz w:val="20"/>
          <w:szCs w:val="20"/>
        </w:rPr>
      </w:pPr>
      <w:r w:rsidRPr="001B02FE">
        <w:rPr>
          <w:rFonts w:cstheme="minorHAnsi"/>
          <w:sz w:val="20"/>
          <w:szCs w:val="20"/>
        </w:rPr>
        <w:t xml:space="preserve">The expected loss rates are based on the Group’s historical credit losses experienced over 2019,  this is due to SiS using SAP which has provided more visibility over debtors. PhD has also looked at credit loss over the 2019 year as this is the first full year under SiS plc ownership. The historical loss rates are then adjusted for current and forward-looking information affecting the Group’s customers. </w:t>
      </w:r>
    </w:p>
    <w:p w14:paraId="4635CACF" w14:textId="77777777" w:rsidR="00DA54F3" w:rsidRPr="001B02FE" w:rsidRDefault="00DA54F3" w:rsidP="00DA54F3">
      <w:pPr>
        <w:spacing w:after="0" w:line="240" w:lineRule="auto"/>
        <w:jc w:val="both"/>
        <w:rPr>
          <w:rFonts w:eastAsia="Times New Roman" w:cstheme="minorHAnsi"/>
          <w:sz w:val="20"/>
          <w:szCs w:val="20"/>
        </w:rPr>
      </w:pPr>
    </w:p>
    <w:p w14:paraId="18B23F18" w14:textId="77777777"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sz w:val="20"/>
          <w:szCs w:val="20"/>
        </w:rPr>
        <w:t>At 31 December 2019 the lifetime expected loss provision for trade receivables is as follows:</w:t>
      </w:r>
    </w:p>
    <w:p w14:paraId="092B31AC" w14:textId="77777777" w:rsidR="00DA54F3" w:rsidRPr="001B02FE" w:rsidRDefault="00DA54F3" w:rsidP="00DA54F3">
      <w:pPr>
        <w:spacing w:after="0" w:line="240" w:lineRule="auto"/>
        <w:jc w:val="both"/>
        <w:rPr>
          <w:rFonts w:eastAsia="Times New Roman" w:cstheme="minorHAnsi"/>
          <w:sz w:val="20"/>
          <w:szCs w:val="20"/>
        </w:rPr>
      </w:pPr>
    </w:p>
    <w:tbl>
      <w:tblPr>
        <w:tblStyle w:val="TableGrid"/>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275"/>
        <w:gridCol w:w="1276"/>
        <w:gridCol w:w="988"/>
      </w:tblGrid>
      <w:tr w:rsidR="00DA54F3" w:rsidRPr="001B02FE" w14:paraId="2C29FE35" w14:textId="77777777" w:rsidTr="00A535DB">
        <w:tc>
          <w:tcPr>
            <w:tcW w:w="6237" w:type="dxa"/>
          </w:tcPr>
          <w:p w14:paraId="591D3E91" w14:textId="77777777" w:rsidR="00DA54F3" w:rsidRPr="001B02FE" w:rsidRDefault="00DA54F3" w:rsidP="00A535DB">
            <w:pPr>
              <w:jc w:val="both"/>
              <w:rPr>
                <w:rFonts w:eastAsia="Times New Roman" w:cstheme="minorHAnsi"/>
                <w:b/>
                <w:bCs/>
                <w:sz w:val="20"/>
                <w:szCs w:val="20"/>
              </w:rPr>
            </w:pPr>
            <w:r w:rsidRPr="001B02FE">
              <w:rPr>
                <w:rFonts w:eastAsia="Times New Roman" w:cstheme="minorHAnsi"/>
                <w:b/>
                <w:bCs/>
                <w:sz w:val="20"/>
                <w:szCs w:val="20"/>
              </w:rPr>
              <w:t>31 December 2019</w:t>
            </w:r>
          </w:p>
        </w:tc>
        <w:tc>
          <w:tcPr>
            <w:tcW w:w="1275" w:type="dxa"/>
            <w:vAlign w:val="bottom"/>
          </w:tcPr>
          <w:p w14:paraId="51F62B86" w14:textId="77777777" w:rsidR="00DA54F3" w:rsidRPr="001B02FE" w:rsidRDefault="00DA54F3" w:rsidP="00A535DB">
            <w:pPr>
              <w:jc w:val="right"/>
              <w:rPr>
                <w:rFonts w:eastAsia="Times New Roman" w:cstheme="minorHAnsi"/>
                <w:b/>
                <w:sz w:val="20"/>
                <w:szCs w:val="20"/>
              </w:rPr>
            </w:pPr>
            <w:r w:rsidRPr="001B02FE">
              <w:rPr>
                <w:rFonts w:eastAsia="Times New Roman" w:cstheme="minorHAnsi"/>
                <w:b/>
                <w:sz w:val="20"/>
                <w:szCs w:val="20"/>
              </w:rPr>
              <w:t>More than 60 days past due</w:t>
            </w:r>
          </w:p>
        </w:tc>
        <w:tc>
          <w:tcPr>
            <w:tcW w:w="1276" w:type="dxa"/>
            <w:vAlign w:val="bottom"/>
          </w:tcPr>
          <w:p w14:paraId="6BF08E44" w14:textId="77777777" w:rsidR="00DA54F3" w:rsidRPr="001B02FE" w:rsidRDefault="00DA54F3" w:rsidP="00A535DB">
            <w:pPr>
              <w:jc w:val="right"/>
              <w:rPr>
                <w:rFonts w:eastAsia="Times New Roman" w:cstheme="minorHAnsi"/>
                <w:b/>
                <w:sz w:val="20"/>
                <w:szCs w:val="20"/>
              </w:rPr>
            </w:pPr>
            <w:r w:rsidRPr="001B02FE">
              <w:rPr>
                <w:rFonts w:eastAsia="Times New Roman" w:cstheme="minorHAnsi"/>
                <w:b/>
                <w:sz w:val="20"/>
                <w:szCs w:val="20"/>
              </w:rPr>
              <w:t>More than 90 days past due</w:t>
            </w:r>
          </w:p>
        </w:tc>
        <w:tc>
          <w:tcPr>
            <w:tcW w:w="988" w:type="dxa"/>
            <w:vAlign w:val="bottom"/>
          </w:tcPr>
          <w:p w14:paraId="068EB7B3" w14:textId="77777777" w:rsidR="00DA54F3" w:rsidRPr="001B02FE" w:rsidRDefault="00DA54F3" w:rsidP="00A535DB">
            <w:pPr>
              <w:rPr>
                <w:rFonts w:eastAsia="Times New Roman" w:cstheme="minorHAnsi"/>
                <w:b/>
                <w:sz w:val="20"/>
                <w:szCs w:val="20"/>
              </w:rPr>
            </w:pPr>
            <w:r w:rsidRPr="001B02FE">
              <w:rPr>
                <w:rFonts w:eastAsia="Times New Roman" w:cstheme="minorHAnsi"/>
                <w:b/>
                <w:sz w:val="20"/>
                <w:szCs w:val="20"/>
              </w:rPr>
              <w:t>Total</w:t>
            </w:r>
          </w:p>
        </w:tc>
      </w:tr>
      <w:tr w:rsidR="00DA54F3" w:rsidRPr="001B02FE" w14:paraId="6E74958B" w14:textId="77777777" w:rsidTr="00A535DB">
        <w:tc>
          <w:tcPr>
            <w:tcW w:w="6237" w:type="dxa"/>
          </w:tcPr>
          <w:p w14:paraId="620A0939" w14:textId="77777777" w:rsidR="00DA54F3" w:rsidRPr="001B02FE" w:rsidRDefault="00DA54F3" w:rsidP="00A535DB">
            <w:pPr>
              <w:jc w:val="both"/>
              <w:rPr>
                <w:rFonts w:eastAsia="Times New Roman" w:cstheme="minorHAnsi"/>
                <w:sz w:val="20"/>
                <w:szCs w:val="20"/>
              </w:rPr>
            </w:pPr>
          </w:p>
        </w:tc>
        <w:tc>
          <w:tcPr>
            <w:tcW w:w="1275" w:type="dxa"/>
          </w:tcPr>
          <w:p w14:paraId="3610C4F9" w14:textId="77777777" w:rsidR="00DA54F3" w:rsidRPr="001B02FE" w:rsidRDefault="00DA54F3" w:rsidP="00A535DB">
            <w:pPr>
              <w:jc w:val="right"/>
              <w:rPr>
                <w:rFonts w:eastAsia="Times New Roman" w:cstheme="minorHAnsi"/>
                <w:sz w:val="20"/>
                <w:szCs w:val="20"/>
              </w:rPr>
            </w:pPr>
          </w:p>
        </w:tc>
        <w:tc>
          <w:tcPr>
            <w:tcW w:w="1276" w:type="dxa"/>
          </w:tcPr>
          <w:p w14:paraId="3C614233" w14:textId="77777777" w:rsidR="00DA54F3" w:rsidRPr="001B02FE" w:rsidRDefault="00DA54F3" w:rsidP="00A535DB">
            <w:pPr>
              <w:jc w:val="right"/>
              <w:rPr>
                <w:rFonts w:eastAsia="Times New Roman" w:cstheme="minorHAnsi"/>
                <w:sz w:val="20"/>
                <w:szCs w:val="20"/>
              </w:rPr>
            </w:pPr>
          </w:p>
        </w:tc>
        <w:tc>
          <w:tcPr>
            <w:tcW w:w="988" w:type="dxa"/>
          </w:tcPr>
          <w:p w14:paraId="7A356BC6" w14:textId="77777777" w:rsidR="00DA54F3" w:rsidRPr="001B02FE" w:rsidRDefault="00DA54F3" w:rsidP="00A535DB">
            <w:pPr>
              <w:rPr>
                <w:rFonts w:eastAsia="Times New Roman" w:cstheme="minorHAnsi"/>
                <w:sz w:val="20"/>
                <w:szCs w:val="20"/>
              </w:rPr>
            </w:pPr>
          </w:p>
        </w:tc>
      </w:tr>
      <w:tr w:rsidR="00DA54F3" w:rsidRPr="001B02FE" w14:paraId="48A3CE3C" w14:textId="77777777" w:rsidTr="00A535DB">
        <w:tc>
          <w:tcPr>
            <w:tcW w:w="6237" w:type="dxa"/>
          </w:tcPr>
          <w:p w14:paraId="0999F733" w14:textId="77777777" w:rsidR="00DA54F3" w:rsidRPr="001B02FE" w:rsidRDefault="00DA54F3" w:rsidP="00A535DB">
            <w:pPr>
              <w:jc w:val="both"/>
              <w:rPr>
                <w:rFonts w:eastAsia="Times New Roman" w:cstheme="minorHAnsi"/>
                <w:sz w:val="20"/>
                <w:szCs w:val="20"/>
              </w:rPr>
            </w:pPr>
            <w:r w:rsidRPr="001B02FE">
              <w:rPr>
                <w:rFonts w:eastAsia="Times New Roman" w:cstheme="minorHAnsi"/>
                <w:sz w:val="20"/>
                <w:szCs w:val="20"/>
              </w:rPr>
              <w:t>Expected loss rate (%)</w:t>
            </w:r>
          </w:p>
        </w:tc>
        <w:tc>
          <w:tcPr>
            <w:tcW w:w="1275" w:type="dxa"/>
          </w:tcPr>
          <w:p w14:paraId="72AD232F" w14:textId="77777777" w:rsidR="00DA54F3" w:rsidRPr="001B02FE" w:rsidRDefault="00DA54F3" w:rsidP="00A535DB">
            <w:pPr>
              <w:jc w:val="right"/>
              <w:rPr>
                <w:rFonts w:eastAsia="Times New Roman" w:cstheme="minorHAnsi"/>
                <w:sz w:val="20"/>
                <w:szCs w:val="20"/>
              </w:rPr>
            </w:pPr>
            <w:r w:rsidRPr="001B02FE">
              <w:rPr>
                <w:rFonts w:eastAsia="Times New Roman" w:cstheme="minorHAnsi"/>
                <w:sz w:val="20"/>
                <w:szCs w:val="20"/>
              </w:rPr>
              <w:t>2%</w:t>
            </w:r>
          </w:p>
        </w:tc>
        <w:tc>
          <w:tcPr>
            <w:tcW w:w="1276" w:type="dxa"/>
          </w:tcPr>
          <w:p w14:paraId="772BC319" w14:textId="77777777" w:rsidR="00DA54F3" w:rsidRPr="001B02FE" w:rsidRDefault="00DA54F3" w:rsidP="00A535DB">
            <w:pPr>
              <w:jc w:val="right"/>
              <w:rPr>
                <w:rFonts w:eastAsia="Times New Roman" w:cstheme="minorHAnsi"/>
                <w:sz w:val="20"/>
                <w:szCs w:val="20"/>
              </w:rPr>
            </w:pPr>
            <w:r w:rsidRPr="001B02FE">
              <w:rPr>
                <w:rFonts w:eastAsia="Times New Roman" w:cstheme="minorHAnsi"/>
                <w:sz w:val="20"/>
                <w:szCs w:val="20"/>
              </w:rPr>
              <w:t>10%</w:t>
            </w:r>
          </w:p>
        </w:tc>
        <w:tc>
          <w:tcPr>
            <w:tcW w:w="988" w:type="dxa"/>
          </w:tcPr>
          <w:p w14:paraId="64E88E31" w14:textId="77777777" w:rsidR="00DA54F3" w:rsidRPr="001B02FE" w:rsidRDefault="00DA54F3" w:rsidP="00A535DB">
            <w:pPr>
              <w:jc w:val="both"/>
              <w:rPr>
                <w:rFonts w:eastAsia="Times New Roman" w:cstheme="minorHAnsi"/>
                <w:sz w:val="20"/>
                <w:szCs w:val="20"/>
              </w:rPr>
            </w:pPr>
          </w:p>
        </w:tc>
      </w:tr>
      <w:tr w:rsidR="00DA54F3" w:rsidRPr="001B02FE" w14:paraId="1C37379A" w14:textId="77777777" w:rsidTr="00A535DB">
        <w:tc>
          <w:tcPr>
            <w:tcW w:w="6237" w:type="dxa"/>
          </w:tcPr>
          <w:p w14:paraId="4F2BA4DE" w14:textId="77777777" w:rsidR="00DA54F3" w:rsidRPr="001B02FE" w:rsidRDefault="00DA54F3" w:rsidP="00A535DB">
            <w:pPr>
              <w:jc w:val="both"/>
              <w:rPr>
                <w:rFonts w:eastAsia="Times New Roman" w:cstheme="minorHAnsi"/>
                <w:sz w:val="20"/>
                <w:szCs w:val="20"/>
              </w:rPr>
            </w:pPr>
            <w:r w:rsidRPr="001B02FE">
              <w:rPr>
                <w:rFonts w:eastAsia="Times New Roman" w:cstheme="minorHAnsi"/>
                <w:sz w:val="20"/>
                <w:szCs w:val="20"/>
              </w:rPr>
              <w:t>Gross carrying amount (£’000)</w:t>
            </w:r>
          </w:p>
        </w:tc>
        <w:tc>
          <w:tcPr>
            <w:tcW w:w="1275" w:type="dxa"/>
          </w:tcPr>
          <w:p w14:paraId="5860C704" w14:textId="77777777" w:rsidR="00DA54F3" w:rsidRPr="001B02FE" w:rsidRDefault="00DA54F3" w:rsidP="00A535DB">
            <w:pPr>
              <w:jc w:val="right"/>
              <w:rPr>
                <w:rFonts w:eastAsia="Times New Roman" w:cstheme="minorHAnsi"/>
                <w:sz w:val="20"/>
                <w:szCs w:val="20"/>
              </w:rPr>
            </w:pPr>
            <w:r w:rsidRPr="001B02FE">
              <w:rPr>
                <w:rFonts w:eastAsia="Times New Roman" w:cstheme="minorHAnsi"/>
                <w:sz w:val="20"/>
                <w:szCs w:val="20"/>
              </w:rPr>
              <w:t>224</w:t>
            </w:r>
          </w:p>
        </w:tc>
        <w:tc>
          <w:tcPr>
            <w:tcW w:w="1276" w:type="dxa"/>
          </w:tcPr>
          <w:p w14:paraId="13BFD3A6" w14:textId="77777777" w:rsidR="00DA54F3" w:rsidRPr="001B02FE" w:rsidRDefault="00DA54F3" w:rsidP="00A535DB">
            <w:pPr>
              <w:jc w:val="right"/>
              <w:rPr>
                <w:rFonts w:eastAsia="Times New Roman" w:cstheme="minorHAnsi"/>
                <w:sz w:val="20"/>
                <w:szCs w:val="20"/>
              </w:rPr>
            </w:pPr>
            <w:r w:rsidRPr="001B02FE">
              <w:rPr>
                <w:rFonts w:eastAsia="Times New Roman" w:cstheme="minorHAnsi"/>
                <w:sz w:val="20"/>
                <w:szCs w:val="20"/>
              </w:rPr>
              <w:t>463</w:t>
            </w:r>
          </w:p>
        </w:tc>
        <w:tc>
          <w:tcPr>
            <w:tcW w:w="988" w:type="dxa"/>
          </w:tcPr>
          <w:p w14:paraId="4127500F" w14:textId="77777777" w:rsidR="00DA54F3" w:rsidRPr="001B02FE" w:rsidRDefault="00DA54F3" w:rsidP="00A535DB">
            <w:pPr>
              <w:rPr>
                <w:rFonts w:eastAsia="Times New Roman" w:cstheme="minorHAnsi"/>
                <w:b/>
                <w:sz w:val="20"/>
                <w:szCs w:val="20"/>
              </w:rPr>
            </w:pPr>
          </w:p>
        </w:tc>
      </w:tr>
      <w:tr w:rsidR="00DA54F3" w:rsidRPr="001B02FE" w14:paraId="5D5771CB" w14:textId="77777777" w:rsidTr="00A535DB">
        <w:trPr>
          <w:trHeight w:val="305"/>
        </w:trPr>
        <w:tc>
          <w:tcPr>
            <w:tcW w:w="6237" w:type="dxa"/>
            <w:tcBorders>
              <w:top w:val="single" w:sz="4" w:space="0" w:color="auto"/>
              <w:bottom w:val="single" w:sz="4" w:space="0" w:color="auto"/>
            </w:tcBorders>
            <w:vAlign w:val="center"/>
          </w:tcPr>
          <w:p w14:paraId="0D5CD4DB" w14:textId="77777777" w:rsidR="00DA54F3" w:rsidRPr="001B02FE" w:rsidRDefault="00DA54F3" w:rsidP="00A535DB">
            <w:pPr>
              <w:jc w:val="both"/>
              <w:rPr>
                <w:rFonts w:eastAsia="Times New Roman" w:cstheme="minorHAnsi"/>
                <w:b/>
                <w:sz w:val="20"/>
                <w:szCs w:val="20"/>
              </w:rPr>
            </w:pPr>
            <w:r w:rsidRPr="001B02FE">
              <w:rPr>
                <w:rFonts w:eastAsia="Times New Roman" w:cstheme="minorHAnsi"/>
                <w:b/>
                <w:sz w:val="20"/>
                <w:szCs w:val="20"/>
              </w:rPr>
              <w:t xml:space="preserve">Loss provision (£’000) </w:t>
            </w:r>
          </w:p>
        </w:tc>
        <w:tc>
          <w:tcPr>
            <w:tcW w:w="1275" w:type="dxa"/>
            <w:tcBorders>
              <w:top w:val="single" w:sz="4" w:space="0" w:color="auto"/>
              <w:bottom w:val="single" w:sz="4" w:space="0" w:color="auto"/>
            </w:tcBorders>
            <w:vAlign w:val="center"/>
          </w:tcPr>
          <w:p w14:paraId="3D5E9B18" w14:textId="77777777" w:rsidR="00DA54F3" w:rsidRPr="001B02FE" w:rsidRDefault="00DA54F3" w:rsidP="00A535DB">
            <w:pPr>
              <w:tabs>
                <w:tab w:val="center" w:pos="529"/>
                <w:tab w:val="right" w:pos="1059"/>
              </w:tabs>
              <w:rPr>
                <w:rFonts w:eastAsia="Times New Roman" w:cstheme="minorHAnsi"/>
                <w:b/>
                <w:sz w:val="20"/>
                <w:szCs w:val="20"/>
              </w:rPr>
            </w:pPr>
            <w:r w:rsidRPr="001B02FE">
              <w:rPr>
                <w:rFonts w:eastAsia="Times New Roman" w:cstheme="minorHAnsi"/>
                <w:b/>
                <w:sz w:val="20"/>
                <w:szCs w:val="20"/>
              </w:rPr>
              <w:t xml:space="preserve">                 5                 </w:t>
            </w:r>
          </w:p>
        </w:tc>
        <w:tc>
          <w:tcPr>
            <w:tcW w:w="1276" w:type="dxa"/>
            <w:tcBorders>
              <w:top w:val="single" w:sz="4" w:space="0" w:color="auto"/>
              <w:bottom w:val="single" w:sz="4" w:space="0" w:color="auto"/>
            </w:tcBorders>
            <w:vAlign w:val="center"/>
          </w:tcPr>
          <w:p w14:paraId="7170B0C5" w14:textId="77777777" w:rsidR="00DA54F3" w:rsidRPr="001B02FE" w:rsidRDefault="00DA54F3" w:rsidP="00A535DB">
            <w:pPr>
              <w:jc w:val="right"/>
              <w:rPr>
                <w:rFonts w:eastAsia="Times New Roman" w:cstheme="minorHAnsi"/>
                <w:b/>
                <w:sz w:val="20"/>
                <w:szCs w:val="20"/>
              </w:rPr>
            </w:pPr>
            <w:r w:rsidRPr="001B02FE">
              <w:rPr>
                <w:rFonts w:eastAsia="Times New Roman" w:cstheme="minorHAnsi"/>
                <w:b/>
                <w:sz w:val="20"/>
                <w:szCs w:val="20"/>
              </w:rPr>
              <w:t xml:space="preserve">46       </w:t>
            </w:r>
          </w:p>
        </w:tc>
        <w:tc>
          <w:tcPr>
            <w:tcW w:w="988" w:type="dxa"/>
            <w:tcBorders>
              <w:top w:val="single" w:sz="4" w:space="0" w:color="auto"/>
              <w:bottom w:val="single" w:sz="4" w:space="0" w:color="auto"/>
            </w:tcBorders>
            <w:vAlign w:val="center"/>
          </w:tcPr>
          <w:p w14:paraId="0B3A7998" w14:textId="77777777" w:rsidR="00DA54F3" w:rsidRPr="001B02FE" w:rsidRDefault="00DA54F3" w:rsidP="00A535DB">
            <w:pPr>
              <w:rPr>
                <w:rFonts w:eastAsia="Times New Roman" w:cstheme="minorHAnsi"/>
                <w:b/>
                <w:sz w:val="20"/>
                <w:szCs w:val="20"/>
              </w:rPr>
            </w:pPr>
            <w:r w:rsidRPr="001B02FE">
              <w:rPr>
                <w:rFonts w:eastAsia="Times New Roman" w:cstheme="minorHAnsi"/>
                <w:b/>
                <w:sz w:val="20"/>
                <w:szCs w:val="20"/>
              </w:rPr>
              <w:t xml:space="preserve">     51</w:t>
            </w:r>
          </w:p>
        </w:tc>
      </w:tr>
      <w:tr w:rsidR="00DA54F3" w:rsidRPr="001B02FE" w14:paraId="2D28E528" w14:textId="77777777" w:rsidTr="00A535DB">
        <w:trPr>
          <w:trHeight w:val="454"/>
        </w:trPr>
        <w:tc>
          <w:tcPr>
            <w:tcW w:w="6237" w:type="dxa"/>
            <w:tcBorders>
              <w:top w:val="single" w:sz="4" w:space="0" w:color="auto"/>
              <w:bottom w:val="single" w:sz="4" w:space="0" w:color="auto"/>
            </w:tcBorders>
            <w:vAlign w:val="center"/>
          </w:tcPr>
          <w:p w14:paraId="7EB54DB6" w14:textId="77777777" w:rsidR="00DA54F3" w:rsidRPr="001B02FE" w:rsidRDefault="00DA54F3" w:rsidP="00A535DB">
            <w:pPr>
              <w:jc w:val="both"/>
              <w:rPr>
                <w:rFonts w:eastAsia="Times New Roman" w:cstheme="minorHAnsi"/>
                <w:b/>
                <w:sz w:val="20"/>
                <w:szCs w:val="20"/>
              </w:rPr>
            </w:pPr>
          </w:p>
          <w:p w14:paraId="0C733E93" w14:textId="77777777" w:rsidR="00DA54F3" w:rsidRPr="001B02FE" w:rsidRDefault="00DA54F3" w:rsidP="00A535DB">
            <w:pPr>
              <w:jc w:val="both"/>
              <w:rPr>
                <w:rFonts w:eastAsia="Times New Roman" w:cstheme="minorHAnsi"/>
                <w:b/>
                <w:sz w:val="20"/>
                <w:szCs w:val="20"/>
              </w:rPr>
            </w:pPr>
            <w:r w:rsidRPr="001B02FE">
              <w:rPr>
                <w:rFonts w:eastAsia="Times New Roman" w:cstheme="minorHAnsi"/>
                <w:sz w:val="20"/>
                <w:szCs w:val="20"/>
              </w:rPr>
              <w:t>31 December 2018</w:t>
            </w:r>
          </w:p>
        </w:tc>
        <w:tc>
          <w:tcPr>
            <w:tcW w:w="1275" w:type="dxa"/>
            <w:tcBorders>
              <w:top w:val="single" w:sz="4" w:space="0" w:color="auto"/>
              <w:bottom w:val="single" w:sz="4" w:space="0" w:color="auto"/>
            </w:tcBorders>
            <w:vAlign w:val="center"/>
          </w:tcPr>
          <w:p w14:paraId="3C343FD4" w14:textId="77777777" w:rsidR="00DA54F3" w:rsidRPr="001B02FE" w:rsidRDefault="00DA54F3" w:rsidP="00A535DB">
            <w:pPr>
              <w:tabs>
                <w:tab w:val="center" w:pos="529"/>
                <w:tab w:val="right" w:pos="1059"/>
              </w:tabs>
              <w:rPr>
                <w:rFonts w:eastAsia="Times New Roman" w:cstheme="minorHAnsi"/>
                <w:b/>
                <w:sz w:val="20"/>
                <w:szCs w:val="20"/>
              </w:rPr>
            </w:pPr>
          </w:p>
        </w:tc>
        <w:tc>
          <w:tcPr>
            <w:tcW w:w="1276" w:type="dxa"/>
            <w:tcBorders>
              <w:top w:val="single" w:sz="4" w:space="0" w:color="auto"/>
              <w:bottom w:val="single" w:sz="4" w:space="0" w:color="auto"/>
            </w:tcBorders>
            <w:vAlign w:val="center"/>
          </w:tcPr>
          <w:p w14:paraId="3B818B39" w14:textId="77777777" w:rsidR="00DA54F3" w:rsidRPr="001B02FE" w:rsidRDefault="00DA54F3" w:rsidP="00A535DB">
            <w:pPr>
              <w:jc w:val="right"/>
              <w:rPr>
                <w:rFonts w:eastAsia="Times New Roman" w:cstheme="minorHAnsi"/>
                <w:b/>
                <w:sz w:val="20"/>
                <w:szCs w:val="20"/>
              </w:rPr>
            </w:pPr>
          </w:p>
        </w:tc>
        <w:tc>
          <w:tcPr>
            <w:tcW w:w="988" w:type="dxa"/>
            <w:tcBorders>
              <w:top w:val="single" w:sz="4" w:space="0" w:color="auto"/>
              <w:bottom w:val="single" w:sz="4" w:space="0" w:color="auto"/>
            </w:tcBorders>
            <w:vAlign w:val="center"/>
          </w:tcPr>
          <w:p w14:paraId="73C6D010" w14:textId="77777777" w:rsidR="00DA54F3" w:rsidRPr="001B02FE" w:rsidRDefault="00DA54F3" w:rsidP="00A535DB">
            <w:pPr>
              <w:rPr>
                <w:rFonts w:eastAsia="Times New Roman" w:cstheme="minorHAnsi"/>
                <w:b/>
                <w:sz w:val="20"/>
                <w:szCs w:val="20"/>
              </w:rPr>
            </w:pPr>
          </w:p>
        </w:tc>
      </w:tr>
      <w:tr w:rsidR="00DA54F3" w:rsidRPr="001B02FE" w14:paraId="670B877F" w14:textId="77777777" w:rsidTr="00A535DB">
        <w:tc>
          <w:tcPr>
            <w:tcW w:w="6237" w:type="dxa"/>
            <w:tcBorders>
              <w:top w:val="single" w:sz="4" w:space="0" w:color="auto"/>
            </w:tcBorders>
          </w:tcPr>
          <w:p w14:paraId="14EC0660" w14:textId="77777777" w:rsidR="00DA54F3" w:rsidRPr="001B02FE" w:rsidRDefault="00DA54F3" w:rsidP="00A535DB">
            <w:pPr>
              <w:jc w:val="both"/>
              <w:rPr>
                <w:rFonts w:eastAsia="Times New Roman" w:cstheme="minorHAnsi"/>
                <w:sz w:val="20"/>
                <w:szCs w:val="20"/>
              </w:rPr>
            </w:pPr>
            <w:r w:rsidRPr="001B02FE">
              <w:rPr>
                <w:rFonts w:eastAsia="Times New Roman" w:cstheme="minorHAnsi"/>
                <w:sz w:val="20"/>
                <w:szCs w:val="20"/>
              </w:rPr>
              <w:t>Expected loss rate (%)</w:t>
            </w:r>
          </w:p>
        </w:tc>
        <w:tc>
          <w:tcPr>
            <w:tcW w:w="1275" w:type="dxa"/>
            <w:tcBorders>
              <w:top w:val="single" w:sz="4" w:space="0" w:color="auto"/>
            </w:tcBorders>
          </w:tcPr>
          <w:p w14:paraId="3DBD585B" w14:textId="77777777" w:rsidR="00DA54F3" w:rsidRPr="001B02FE" w:rsidRDefault="00DA54F3" w:rsidP="00A535DB">
            <w:pPr>
              <w:jc w:val="right"/>
              <w:rPr>
                <w:rFonts w:eastAsia="Times New Roman" w:cstheme="minorHAnsi"/>
                <w:sz w:val="20"/>
                <w:szCs w:val="20"/>
              </w:rPr>
            </w:pPr>
            <w:r w:rsidRPr="001B02FE">
              <w:rPr>
                <w:rFonts w:eastAsia="Times New Roman" w:cstheme="minorHAnsi"/>
                <w:sz w:val="20"/>
                <w:szCs w:val="20"/>
              </w:rPr>
              <w:t>2%</w:t>
            </w:r>
          </w:p>
        </w:tc>
        <w:tc>
          <w:tcPr>
            <w:tcW w:w="1276" w:type="dxa"/>
            <w:tcBorders>
              <w:top w:val="single" w:sz="4" w:space="0" w:color="auto"/>
            </w:tcBorders>
          </w:tcPr>
          <w:p w14:paraId="23F37FD7" w14:textId="77777777" w:rsidR="00DA54F3" w:rsidRPr="001B02FE" w:rsidRDefault="00DA54F3" w:rsidP="00A535DB">
            <w:pPr>
              <w:jc w:val="right"/>
              <w:rPr>
                <w:rFonts w:eastAsia="Times New Roman" w:cstheme="minorHAnsi"/>
                <w:sz w:val="20"/>
                <w:szCs w:val="20"/>
              </w:rPr>
            </w:pPr>
            <w:r w:rsidRPr="001B02FE">
              <w:rPr>
                <w:rFonts w:eastAsia="Times New Roman" w:cstheme="minorHAnsi"/>
                <w:sz w:val="20"/>
                <w:szCs w:val="20"/>
              </w:rPr>
              <w:t>7%</w:t>
            </w:r>
          </w:p>
        </w:tc>
        <w:tc>
          <w:tcPr>
            <w:tcW w:w="988" w:type="dxa"/>
            <w:tcBorders>
              <w:top w:val="single" w:sz="4" w:space="0" w:color="auto"/>
            </w:tcBorders>
          </w:tcPr>
          <w:p w14:paraId="4F7C1A58" w14:textId="77777777" w:rsidR="00DA54F3" w:rsidRPr="001B02FE" w:rsidRDefault="00DA54F3" w:rsidP="00A535DB">
            <w:pPr>
              <w:jc w:val="both"/>
              <w:rPr>
                <w:rFonts w:eastAsia="Times New Roman" w:cstheme="minorHAnsi"/>
                <w:sz w:val="20"/>
                <w:szCs w:val="20"/>
              </w:rPr>
            </w:pPr>
          </w:p>
        </w:tc>
      </w:tr>
      <w:tr w:rsidR="00DA54F3" w:rsidRPr="001B02FE" w14:paraId="05EC5D0D" w14:textId="77777777" w:rsidTr="00A535DB">
        <w:tc>
          <w:tcPr>
            <w:tcW w:w="6237" w:type="dxa"/>
            <w:tcBorders>
              <w:bottom w:val="single" w:sz="4" w:space="0" w:color="auto"/>
            </w:tcBorders>
          </w:tcPr>
          <w:p w14:paraId="4059F1B2" w14:textId="77777777" w:rsidR="00DA54F3" w:rsidRPr="001B02FE" w:rsidRDefault="00DA54F3" w:rsidP="00A535DB">
            <w:pPr>
              <w:jc w:val="both"/>
              <w:rPr>
                <w:rFonts w:eastAsia="Times New Roman" w:cstheme="minorHAnsi"/>
                <w:sz w:val="20"/>
                <w:szCs w:val="20"/>
              </w:rPr>
            </w:pPr>
            <w:r w:rsidRPr="001B02FE">
              <w:rPr>
                <w:rFonts w:eastAsia="Times New Roman" w:cstheme="minorHAnsi"/>
                <w:sz w:val="20"/>
                <w:szCs w:val="20"/>
              </w:rPr>
              <w:t>Gross carrying amount (£’000)</w:t>
            </w:r>
          </w:p>
        </w:tc>
        <w:tc>
          <w:tcPr>
            <w:tcW w:w="1275" w:type="dxa"/>
            <w:tcBorders>
              <w:bottom w:val="single" w:sz="4" w:space="0" w:color="auto"/>
            </w:tcBorders>
          </w:tcPr>
          <w:p w14:paraId="559A1C58" w14:textId="77777777" w:rsidR="00DA54F3" w:rsidRPr="001B02FE" w:rsidRDefault="00DA54F3" w:rsidP="00A535DB">
            <w:pPr>
              <w:jc w:val="right"/>
              <w:rPr>
                <w:rFonts w:eastAsia="Times New Roman" w:cstheme="minorHAnsi"/>
                <w:sz w:val="20"/>
                <w:szCs w:val="20"/>
              </w:rPr>
            </w:pPr>
            <w:r w:rsidRPr="001B02FE">
              <w:rPr>
                <w:rFonts w:eastAsia="Times New Roman" w:cstheme="minorHAnsi"/>
                <w:sz w:val="20"/>
                <w:szCs w:val="20"/>
              </w:rPr>
              <w:t>501</w:t>
            </w:r>
          </w:p>
        </w:tc>
        <w:tc>
          <w:tcPr>
            <w:tcW w:w="1276" w:type="dxa"/>
            <w:tcBorders>
              <w:bottom w:val="single" w:sz="4" w:space="0" w:color="auto"/>
            </w:tcBorders>
          </w:tcPr>
          <w:p w14:paraId="143E3E47" w14:textId="77777777" w:rsidR="00DA54F3" w:rsidRPr="001B02FE" w:rsidRDefault="00DA54F3" w:rsidP="00A535DB">
            <w:pPr>
              <w:jc w:val="right"/>
              <w:rPr>
                <w:rFonts w:eastAsia="Times New Roman" w:cstheme="minorHAnsi"/>
                <w:sz w:val="20"/>
                <w:szCs w:val="20"/>
              </w:rPr>
            </w:pPr>
            <w:r w:rsidRPr="001B02FE">
              <w:rPr>
                <w:rFonts w:eastAsia="Times New Roman" w:cstheme="minorHAnsi"/>
                <w:sz w:val="20"/>
                <w:szCs w:val="20"/>
              </w:rPr>
              <w:t>475</w:t>
            </w:r>
          </w:p>
        </w:tc>
        <w:tc>
          <w:tcPr>
            <w:tcW w:w="988" w:type="dxa"/>
            <w:tcBorders>
              <w:bottom w:val="single" w:sz="4" w:space="0" w:color="auto"/>
            </w:tcBorders>
          </w:tcPr>
          <w:p w14:paraId="32E7E942" w14:textId="77777777" w:rsidR="00DA54F3" w:rsidRPr="001B02FE" w:rsidRDefault="00DA54F3" w:rsidP="00A535DB">
            <w:pPr>
              <w:rPr>
                <w:rFonts w:eastAsia="Times New Roman" w:cstheme="minorHAnsi"/>
                <w:b/>
                <w:sz w:val="20"/>
                <w:szCs w:val="20"/>
              </w:rPr>
            </w:pPr>
          </w:p>
        </w:tc>
      </w:tr>
      <w:tr w:rsidR="00DA54F3" w:rsidRPr="001B02FE" w14:paraId="6610CCB2" w14:textId="77777777" w:rsidTr="00A535DB">
        <w:tc>
          <w:tcPr>
            <w:tcW w:w="6237" w:type="dxa"/>
            <w:tcBorders>
              <w:top w:val="single" w:sz="4" w:space="0" w:color="auto"/>
              <w:bottom w:val="single" w:sz="4" w:space="0" w:color="auto"/>
            </w:tcBorders>
            <w:vAlign w:val="center"/>
          </w:tcPr>
          <w:p w14:paraId="57BA678E" w14:textId="77777777" w:rsidR="00DA54F3" w:rsidRPr="001B02FE" w:rsidRDefault="00DA54F3" w:rsidP="00A535DB">
            <w:pPr>
              <w:jc w:val="both"/>
              <w:rPr>
                <w:rFonts w:eastAsia="Times New Roman" w:cstheme="minorHAnsi"/>
                <w:b/>
                <w:sz w:val="20"/>
                <w:szCs w:val="20"/>
              </w:rPr>
            </w:pPr>
            <w:r w:rsidRPr="001B02FE">
              <w:rPr>
                <w:rFonts w:eastAsia="Times New Roman" w:cstheme="minorHAnsi"/>
                <w:b/>
                <w:sz w:val="20"/>
                <w:szCs w:val="20"/>
              </w:rPr>
              <w:t>Loss provision (£’000)</w:t>
            </w:r>
          </w:p>
        </w:tc>
        <w:tc>
          <w:tcPr>
            <w:tcW w:w="1275" w:type="dxa"/>
            <w:tcBorders>
              <w:top w:val="single" w:sz="4" w:space="0" w:color="auto"/>
              <w:bottom w:val="single" w:sz="4" w:space="0" w:color="auto"/>
            </w:tcBorders>
            <w:vAlign w:val="center"/>
          </w:tcPr>
          <w:p w14:paraId="25239664" w14:textId="77777777" w:rsidR="00DA54F3" w:rsidRPr="001B02FE" w:rsidRDefault="00DA54F3" w:rsidP="00A535DB">
            <w:pPr>
              <w:tabs>
                <w:tab w:val="center" w:pos="529"/>
                <w:tab w:val="right" w:pos="1059"/>
              </w:tabs>
              <w:rPr>
                <w:rFonts w:eastAsia="Times New Roman" w:cstheme="minorHAnsi"/>
                <w:b/>
                <w:sz w:val="20"/>
                <w:szCs w:val="20"/>
              </w:rPr>
            </w:pPr>
            <w:r w:rsidRPr="001B02FE">
              <w:rPr>
                <w:rFonts w:eastAsia="Times New Roman" w:cstheme="minorHAnsi"/>
                <w:b/>
                <w:sz w:val="20"/>
                <w:szCs w:val="20"/>
              </w:rPr>
              <w:tab/>
            </w:r>
            <w:r w:rsidRPr="001B02FE">
              <w:rPr>
                <w:rFonts w:eastAsia="Times New Roman" w:cstheme="minorHAnsi"/>
                <w:b/>
                <w:sz w:val="20"/>
                <w:szCs w:val="20"/>
              </w:rPr>
              <w:tab/>
              <w:t>10</w:t>
            </w:r>
          </w:p>
        </w:tc>
        <w:tc>
          <w:tcPr>
            <w:tcW w:w="1276" w:type="dxa"/>
            <w:tcBorders>
              <w:top w:val="single" w:sz="4" w:space="0" w:color="auto"/>
              <w:bottom w:val="single" w:sz="4" w:space="0" w:color="auto"/>
            </w:tcBorders>
            <w:vAlign w:val="center"/>
          </w:tcPr>
          <w:p w14:paraId="614D5211" w14:textId="77777777" w:rsidR="00DA54F3" w:rsidRPr="001B02FE" w:rsidRDefault="00DA54F3" w:rsidP="00A535DB">
            <w:pPr>
              <w:jc w:val="right"/>
              <w:rPr>
                <w:rFonts w:eastAsia="Times New Roman" w:cstheme="minorHAnsi"/>
                <w:b/>
                <w:sz w:val="20"/>
                <w:szCs w:val="20"/>
              </w:rPr>
            </w:pPr>
            <w:r w:rsidRPr="001B02FE">
              <w:rPr>
                <w:rFonts w:eastAsia="Times New Roman" w:cstheme="minorHAnsi"/>
                <w:b/>
                <w:sz w:val="20"/>
                <w:szCs w:val="20"/>
              </w:rPr>
              <w:t>33</w:t>
            </w:r>
          </w:p>
        </w:tc>
        <w:tc>
          <w:tcPr>
            <w:tcW w:w="988" w:type="dxa"/>
            <w:tcBorders>
              <w:top w:val="single" w:sz="4" w:space="0" w:color="auto"/>
              <w:bottom w:val="single" w:sz="4" w:space="0" w:color="auto"/>
            </w:tcBorders>
            <w:vAlign w:val="center"/>
          </w:tcPr>
          <w:p w14:paraId="6E524AE9" w14:textId="77777777" w:rsidR="00DA54F3" w:rsidRPr="001B02FE" w:rsidRDefault="00DA54F3" w:rsidP="00A535DB">
            <w:pPr>
              <w:rPr>
                <w:rFonts w:eastAsia="Times New Roman" w:cstheme="minorHAnsi"/>
                <w:b/>
                <w:sz w:val="20"/>
                <w:szCs w:val="20"/>
              </w:rPr>
            </w:pPr>
            <w:r w:rsidRPr="001B02FE">
              <w:rPr>
                <w:rFonts w:eastAsia="Times New Roman" w:cstheme="minorHAnsi"/>
                <w:b/>
                <w:sz w:val="20"/>
                <w:szCs w:val="20"/>
              </w:rPr>
              <w:t xml:space="preserve">     43</w:t>
            </w:r>
          </w:p>
        </w:tc>
      </w:tr>
    </w:tbl>
    <w:p w14:paraId="2D89B2D7" w14:textId="77777777" w:rsidR="00DA54F3" w:rsidRPr="001B02FE" w:rsidRDefault="00DA54F3" w:rsidP="00DA54F3">
      <w:pPr>
        <w:spacing w:after="0" w:line="240" w:lineRule="auto"/>
        <w:jc w:val="both"/>
        <w:rPr>
          <w:rFonts w:eastAsia="Times New Roman" w:cstheme="minorHAnsi"/>
          <w:sz w:val="20"/>
          <w:szCs w:val="20"/>
        </w:rPr>
      </w:pPr>
    </w:p>
    <w:p w14:paraId="6012DD79" w14:textId="77777777" w:rsidR="00DA54F3" w:rsidRPr="001B02FE" w:rsidRDefault="00DA54F3" w:rsidP="00DA54F3">
      <w:pPr>
        <w:spacing w:after="0" w:line="240" w:lineRule="auto"/>
        <w:jc w:val="both"/>
        <w:rPr>
          <w:rFonts w:eastAsia="Times New Roman" w:cstheme="minorHAnsi"/>
          <w:b/>
          <w:sz w:val="20"/>
          <w:szCs w:val="20"/>
        </w:rPr>
      </w:pPr>
      <w:bookmarkStart w:id="3" w:name="_Ref50541628"/>
      <w:bookmarkStart w:id="4" w:name="_Ref50272838"/>
    </w:p>
    <w:p w14:paraId="4EC74A7D" w14:textId="2ACA1577"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b/>
          <w:sz w:val="20"/>
          <w:szCs w:val="20"/>
        </w:rPr>
        <w:t>1</w:t>
      </w:r>
      <w:r w:rsidR="0053375B" w:rsidRPr="001B02FE">
        <w:rPr>
          <w:rFonts w:eastAsia="Times New Roman" w:cstheme="minorHAnsi"/>
          <w:b/>
          <w:sz w:val="20"/>
          <w:szCs w:val="20"/>
        </w:rPr>
        <w:t>0</w:t>
      </w:r>
      <w:r w:rsidRPr="001B02FE">
        <w:rPr>
          <w:rFonts w:eastAsia="Times New Roman" w:cstheme="minorHAnsi"/>
          <w:b/>
          <w:sz w:val="20"/>
          <w:szCs w:val="20"/>
        </w:rPr>
        <w:t>. Trade and other payables</w:t>
      </w:r>
    </w:p>
    <w:tbl>
      <w:tblPr>
        <w:tblW w:w="8020" w:type="dxa"/>
        <w:tblLook w:val="04A0" w:firstRow="1" w:lastRow="0" w:firstColumn="1" w:lastColumn="0" w:noHBand="0" w:noVBand="1"/>
      </w:tblPr>
      <w:tblGrid>
        <w:gridCol w:w="5160"/>
        <w:gridCol w:w="1500"/>
        <w:gridCol w:w="1360"/>
      </w:tblGrid>
      <w:tr w:rsidR="00DA54F3" w:rsidRPr="001B02FE" w14:paraId="34F17D4A" w14:textId="77777777" w:rsidTr="00A535DB">
        <w:trPr>
          <w:cantSplit/>
          <w:trHeight w:val="290"/>
        </w:trPr>
        <w:tc>
          <w:tcPr>
            <w:tcW w:w="5160" w:type="dxa"/>
            <w:vMerge w:val="restart"/>
            <w:tcBorders>
              <w:top w:val="nil"/>
              <w:left w:val="nil"/>
              <w:bottom w:val="nil"/>
              <w:right w:val="nil"/>
            </w:tcBorders>
            <w:shd w:val="clear" w:color="000000" w:fill="FFFFFF"/>
            <w:vAlign w:val="center"/>
            <w:hideMark/>
          </w:tcPr>
          <w:p w14:paraId="4E818DF4" w14:textId="77777777" w:rsidR="00DA54F3" w:rsidRPr="001B02FE" w:rsidRDefault="00DA54F3" w:rsidP="00A535DB">
            <w:pPr>
              <w:spacing w:after="0" w:line="240" w:lineRule="auto"/>
              <w:jc w:val="both"/>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500" w:type="dxa"/>
            <w:tcBorders>
              <w:top w:val="nil"/>
              <w:left w:val="nil"/>
              <w:bottom w:val="nil"/>
              <w:right w:val="nil"/>
            </w:tcBorders>
            <w:shd w:val="clear" w:color="000000" w:fill="FFFFFF"/>
            <w:vAlign w:val="center"/>
            <w:hideMark/>
          </w:tcPr>
          <w:p w14:paraId="5B2F9CBC"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31 December</w:t>
            </w:r>
          </w:p>
        </w:tc>
        <w:tc>
          <w:tcPr>
            <w:tcW w:w="1360" w:type="dxa"/>
            <w:tcBorders>
              <w:top w:val="nil"/>
              <w:left w:val="nil"/>
              <w:bottom w:val="nil"/>
              <w:right w:val="nil"/>
            </w:tcBorders>
            <w:shd w:val="clear" w:color="000000" w:fill="FFFFFF"/>
            <w:vAlign w:val="center"/>
            <w:hideMark/>
          </w:tcPr>
          <w:p w14:paraId="4C9CC2F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31 December</w:t>
            </w:r>
          </w:p>
        </w:tc>
      </w:tr>
      <w:tr w:rsidR="00DA54F3" w:rsidRPr="001B02FE" w14:paraId="75E9615A" w14:textId="77777777" w:rsidTr="00A535DB">
        <w:trPr>
          <w:trHeight w:val="290"/>
        </w:trPr>
        <w:tc>
          <w:tcPr>
            <w:tcW w:w="5160" w:type="dxa"/>
            <w:vMerge/>
            <w:tcBorders>
              <w:top w:val="nil"/>
              <w:left w:val="nil"/>
              <w:bottom w:val="nil"/>
              <w:right w:val="nil"/>
            </w:tcBorders>
            <w:vAlign w:val="center"/>
            <w:hideMark/>
          </w:tcPr>
          <w:p w14:paraId="2F6052C1" w14:textId="77777777" w:rsidR="00DA54F3" w:rsidRPr="001B02FE" w:rsidRDefault="00DA54F3" w:rsidP="00A535DB">
            <w:pPr>
              <w:spacing w:after="0" w:line="240" w:lineRule="auto"/>
              <w:rPr>
                <w:rFonts w:eastAsia="Times New Roman" w:cstheme="minorHAnsi"/>
                <w:color w:val="000000"/>
                <w:sz w:val="20"/>
                <w:szCs w:val="20"/>
                <w:lang w:eastAsia="en-GB"/>
              </w:rPr>
            </w:pPr>
          </w:p>
        </w:tc>
        <w:tc>
          <w:tcPr>
            <w:tcW w:w="1500" w:type="dxa"/>
            <w:tcBorders>
              <w:top w:val="nil"/>
              <w:left w:val="nil"/>
              <w:bottom w:val="nil"/>
              <w:right w:val="nil"/>
            </w:tcBorders>
            <w:shd w:val="clear" w:color="000000" w:fill="FFFFFF"/>
            <w:vAlign w:val="center"/>
            <w:hideMark/>
          </w:tcPr>
          <w:p w14:paraId="1D538BE9"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2019</w:t>
            </w:r>
          </w:p>
        </w:tc>
        <w:tc>
          <w:tcPr>
            <w:tcW w:w="1360" w:type="dxa"/>
            <w:tcBorders>
              <w:top w:val="nil"/>
              <w:left w:val="nil"/>
              <w:bottom w:val="nil"/>
              <w:right w:val="nil"/>
            </w:tcBorders>
            <w:shd w:val="clear" w:color="000000" w:fill="FFFFFF"/>
            <w:vAlign w:val="center"/>
            <w:hideMark/>
          </w:tcPr>
          <w:p w14:paraId="292B1C4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2018</w:t>
            </w:r>
          </w:p>
        </w:tc>
      </w:tr>
      <w:tr w:rsidR="00DA54F3" w:rsidRPr="001B02FE" w14:paraId="0DE2A285" w14:textId="77777777" w:rsidTr="00A535DB">
        <w:trPr>
          <w:cantSplit/>
          <w:trHeight w:val="290"/>
        </w:trPr>
        <w:tc>
          <w:tcPr>
            <w:tcW w:w="5160" w:type="dxa"/>
            <w:tcBorders>
              <w:top w:val="nil"/>
              <w:left w:val="nil"/>
              <w:bottom w:val="single" w:sz="4" w:space="0" w:color="auto"/>
              <w:right w:val="nil"/>
            </w:tcBorders>
            <w:shd w:val="clear" w:color="000000" w:fill="FFFFFF"/>
            <w:vAlign w:val="center"/>
            <w:hideMark/>
          </w:tcPr>
          <w:p w14:paraId="1548C06B" w14:textId="77777777" w:rsidR="00DA54F3" w:rsidRPr="001B02FE" w:rsidRDefault="00DA54F3" w:rsidP="00A535DB">
            <w:pPr>
              <w:spacing w:after="0" w:line="240" w:lineRule="auto"/>
              <w:jc w:val="both"/>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500" w:type="dxa"/>
            <w:tcBorders>
              <w:top w:val="nil"/>
              <w:left w:val="nil"/>
              <w:bottom w:val="single" w:sz="4" w:space="0" w:color="auto"/>
              <w:right w:val="nil"/>
            </w:tcBorders>
            <w:shd w:val="clear" w:color="000000" w:fill="FFFFFF"/>
            <w:vAlign w:val="center"/>
            <w:hideMark/>
          </w:tcPr>
          <w:p w14:paraId="230A9321"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£’000</w:t>
            </w:r>
          </w:p>
        </w:tc>
        <w:tc>
          <w:tcPr>
            <w:tcW w:w="1360" w:type="dxa"/>
            <w:tcBorders>
              <w:top w:val="nil"/>
              <w:left w:val="nil"/>
              <w:bottom w:val="single" w:sz="4" w:space="0" w:color="auto"/>
              <w:right w:val="nil"/>
            </w:tcBorders>
            <w:shd w:val="clear" w:color="000000" w:fill="FFFFFF"/>
            <w:vAlign w:val="center"/>
            <w:hideMark/>
          </w:tcPr>
          <w:p w14:paraId="67BB0CB0"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r>
      <w:tr w:rsidR="00DA54F3" w:rsidRPr="001B02FE" w14:paraId="4BC2ABE4" w14:textId="77777777" w:rsidTr="00A535DB">
        <w:trPr>
          <w:cantSplit/>
          <w:trHeight w:val="290"/>
        </w:trPr>
        <w:tc>
          <w:tcPr>
            <w:tcW w:w="5160" w:type="dxa"/>
            <w:tcBorders>
              <w:top w:val="nil"/>
              <w:left w:val="nil"/>
              <w:bottom w:val="nil"/>
              <w:right w:val="nil"/>
            </w:tcBorders>
            <w:shd w:val="clear" w:color="000000" w:fill="FFFFFF"/>
            <w:vAlign w:val="center"/>
            <w:hideMark/>
          </w:tcPr>
          <w:p w14:paraId="4A816EFB" w14:textId="77777777" w:rsidR="00DA54F3" w:rsidRPr="001B02FE" w:rsidRDefault="00DA54F3" w:rsidP="00A535DB">
            <w:pPr>
              <w:spacing w:after="0" w:line="240" w:lineRule="auto"/>
              <w:jc w:val="both"/>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500" w:type="dxa"/>
            <w:tcBorders>
              <w:top w:val="nil"/>
              <w:left w:val="nil"/>
              <w:bottom w:val="nil"/>
              <w:right w:val="nil"/>
            </w:tcBorders>
            <w:shd w:val="clear" w:color="000000" w:fill="FFFFFF"/>
            <w:vAlign w:val="center"/>
            <w:hideMark/>
          </w:tcPr>
          <w:p w14:paraId="628B6288"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 </w:t>
            </w:r>
          </w:p>
        </w:tc>
        <w:tc>
          <w:tcPr>
            <w:tcW w:w="1360" w:type="dxa"/>
            <w:tcBorders>
              <w:top w:val="nil"/>
              <w:left w:val="nil"/>
              <w:bottom w:val="nil"/>
              <w:right w:val="nil"/>
            </w:tcBorders>
            <w:shd w:val="clear" w:color="000000" w:fill="FFFFFF"/>
            <w:vAlign w:val="center"/>
            <w:hideMark/>
          </w:tcPr>
          <w:p w14:paraId="184FE2F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r>
      <w:tr w:rsidR="00DA54F3" w:rsidRPr="001B02FE" w14:paraId="30CA7835" w14:textId="77777777" w:rsidTr="00A535DB">
        <w:trPr>
          <w:cantSplit/>
          <w:trHeight w:val="290"/>
        </w:trPr>
        <w:tc>
          <w:tcPr>
            <w:tcW w:w="5160" w:type="dxa"/>
            <w:tcBorders>
              <w:top w:val="nil"/>
              <w:left w:val="nil"/>
              <w:bottom w:val="nil"/>
              <w:right w:val="nil"/>
            </w:tcBorders>
            <w:shd w:val="clear" w:color="000000" w:fill="FFFFFF"/>
            <w:vAlign w:val="center"/>
            <w:hideMark/>
          </w:tcPr>
          <w:p w14:paraId="06493055" w14:textId="77777777" w:rsidR="00DA54F3" w:rsidRPr="001B02FE" w:rsidRDefault="00DA54F3" w:rsidP="00A535DB">
            <w:pPr>
              <w:spacing w:after="0" w:line="240" w:lineRule="auto"/>
              <w:jc w:val="both"/>
              <w:rPr>
                <w:rFonts w:eastAsia="Times New Roman" w:cstheme="minorHAnsi"/>
                <w:color w:val="000000"/>
                <w:sz w:val="20"/>
                <w:szCs w:val="20"/>
                <w:lang w:eastAsia="en-GB"/>
              </w:rPr>
            </w:pPr>
            <w:r w:rsidRPr="001B02FE">
              <w:rPr>
                <w:rFonts w:eastAsia="Times New Roman" w:cstheme="minorHAnsi"/>
                <w:color w:val="000000"/>
                <w:sz w:val="20"/>
                <w:szCs w:val="20"/>
                <w:lang w:eastAsia="en-GB"/>
              </w:rPr>
              <w:t>Trade payables</w:t>
            </w:r>
          </w:p>
        </w:tc>
        <w:tc>
          <w:tcPr>
            <w:tcW w:w="1500" w:type="dxa"/>
            <w:tcBorders>
              <w:top w:val="nil"/>
              <w:left w:val="nil"/>
              <w:bottom w:val="nil"/>
              <w:right w:val="nil"/>
            </w:tcBorders>
            <w:shd w:val="clear" w:color="000000" w:fill="FFFFFF"/>
            <w:vAlign w:val="center"/>
            <w:hideMark/>
          </w:tcPr>
          <w:p w14:paraId="40CFF2F0"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5,680</w:t>
            </w:r>
          </w:p>
        </w:tc>
        <w:tc>
          <w:tcPr>
            <w:tcW w:w="1360" w:type="dxa"/>
            <w:tcBorders>
              <w:top w:val="nil"/>
              <w:left w:val="nil"/>
              <w:bottom w:val="nil"/>
              <w:right w:val="nil"/>
            </w:tcBorders>
            <w:shd w:val="clear" w:color="000000" w:fill="FFFFFF"/>
            <w:vAlign w:val="center"/>
            <w:hideMark/>
          </w:tcPr>
          <w:p w14:paraId="04A7B4A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4,661</w:t>
            </w:r>
          </w:p>
        </w:tc>
      </w:tr>
      <w:tr w:rsidR="00DA54F3" w:rsidRPr="001B02FE" w14:paraId="35CB0770" w14:textId="77777777" w:rsidTr="00A535DB">
        <w:trPr>
          <w:cantSplit/>
          <w:trHeight w:val="290"/>
        </w:trPr>
        <w:tc>
          <w:tcPr>
            <w:tcW w:w="5160" w:type="dxa"/>
            <w:tcBorders>
              <w:top w:val="nil"/>
              <w:left w:val="nil"/>
              <w:bottom w:val="single" w:sz="4" w:space="0" w:color="auto"/>
              <w:right w:val="nil"/>
            </w:tcBorders>
            <w:shd w:val="clear" w:color="000000" w:fill="FFFFFF"/>
            <w:vAlign w:val="center"/>
            <w:hideMark/>
          </w:tcPr>
          <w:p w14:paraId="627267A9" w14:textId="77777777" w:rsidR="00DA54F3" w:rsidRPr="001B02FE" w:rsidRDefault="00DA54F3" w:rsidP="00A535DB">
            <w:pPr>
              <w:spacing w:after="0" w:line="240" w:lineRule="auto"/>
              <w:jc w:val="both"/>
              <w:rPr>
                <w:rFonts w:eastAsia="Times New Roman" w:cstheme="minorHAnsi"/>
                <w:color w:val="000000"/>
                <w:sz w:val="20"/>
                <w:szCs w:val="20"/>
                <w:lang w:eastAsia="en-GB"/>
              </w:rPr>
            </w:pPr>
            <w:r w:rsidRPr="001B02FE">
              <w:rPr>
                <w:rFonts w:eastAsia="Times New Roman" w:cstheme="minorHAnsi"/>
                <w:color w:val="000000"/>
                <w:sz w:val="20"/>
                <w:szCs w:val="20"/>
                <w:lang w:eastAsia="en-GB"/>
              </w:rPr>
              <w:t>Accruals</w:t>
            </w:r>
          </w:p>
        </w:tc>
        <w:tc>
          <w:tcPr>
            <w:tcW w:w="1500" w:type="dxa"/>
            <w:tcBorders>
              <w:top w:val="nil"/>
              <w:left w:val="nil"/>
              <w:bottom w:val="single" w:sz="4" w:space="0" w:color="auto"/>
              <w:right w:val="nil"/>
            </w:tcBorders>
            <w:shd w:val="clear" w:color="000000" w:fill="FFFFFF"/>
            <w:vAlign w:val="center"/>
            <w:hideMark/>
          </w:tcPr>
          <w:p w14:paraId="59FFB980" w14:textId="71C12B58"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3,35</w:t>
            </w:r>
            <w:r w:rsidR="00294C0A">
              <w:rPr>
                <w:rFonts w:eastAsia="Times New Roman" w:cstheme="minorHAnsi"/>
                <w:b/>
                <w:bCs/>
                <w:color w:val="000000"/>
                <w:sz w:val="20"/>
                <w:szCs w:val="20"/>
                <w:lang w:eastAsia="en-GB"/>
              </w:rPr>
              <w:t>4</w:t>
            </w:r>
          </w:p>
        </w:tc>
        <w:tc>
          <w:tcPr>
            <w:tcW w:w="1360" w:type="dxa"/>
            <w:tcBorders>
              <w:top w:val="nil"/>
              <w:left w:val="nil"/>
              <w:bottom w:val="single" w:sz="4" w:space="0" w:color="auto"/>
              <w:right w:val="nil"/>
            </w:tcBorders>
            <w:shd w:val="clear" w:color="000000" w:fill="FFFFFF"/>
            <w:vAlign w:val="center"/>
            <w:hideMark/>
          </w:tcPr>
          <w:p w14:paraId="427C4E0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2,631</w:t>
            </w:r>
          </w:p>
        </w:tc>
      </w:tr>
      <w:tr w:rsidR="00DA54F3" w:rsidRPr="001B02FE" w14:paraId="00A2EAB0" w14:textId="77777777" w:rsidTr="00A535DB">
        <w:trPr>
          <w:cantSplit/>
          <w:trHeight w:val="290"/>
        </w:trPr>
        <w:tc>
          <w:tcPr>
            <w:tcW w:w="5160" w:type="dxa"/>
            <w:tcBorders>
              <w:top w:val="nil"/>
              <w:left w:val="nil"/>
              <w:bottom w:val="nil"/>
              <w:right w:val="nil"/>
            </w:tcBorders>
            <w:shd w:val="clear" w:color="000000" w:fill="FFFFFF"/>
            <w:vAlign w:val="center"/>
            <w:hideMark/>
          </w:tcPr>
          <w:p w14:paraId="48E92ECD" w14:textId="77777777" w:rsidR="00DA54F3" w:rsidRPr="001B02FE" w:rsidRDefault="00DA54F3" w:rsidP="00A535DB">
            <w:pPr>
              <w:spacing w:after="0" w:line="240" w:lineRule="auto"/>
              <w:jc w:val="both"/>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Total financial liabilities measured at amortised cost</w:t>
            </w:r>
          </w:p>
        </w:tc>
        <w:tc>
          <w:tcPr>
            <w:tcW w:w="1500" w:type="dxa"/>
            <w:tcBorders>
              <w:top w:val="nil"/>
              <w:left w:val="nil"/>
              <w:bottom w:val="nil"/>
              <w:right w:val="nil"/>
            </w:tcBorders>
            <w:shd w:val="clear" w:color="000000" w:fill="FFFFFF"/>
            <w:vAlign w:val="center"/>
            <w:hideMark/>
          </w:tcPr>
          <w:p w14:paraId="34B54384" w14:textId="1AA8C3C9"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9,03</w:t>
            </w:r>
            <w:r w:rsidR="00294C0A">
              <w:rPr>
                <w:rFonts w:eastAsia="Times New Roman" w:cstheme="minorHAnsi"/>
                <w:b/>
                <w:bCs/>
                <w:color w:val="000000"/>
                <w:sz w:val="20"/>
                <w:szCs w:val="20"/>
                <w:lang w:eastAsia="en-GB"/>
              </w:rPr>
              <w:t>4</w:t>
            </w:r>
          </w:p>
        </w:tc>
        <w:tc>
          <w:tcPr>
            <w:tcW w:w="1360" w:type="dxa"/>
            <w:tcBorders>
              <w:top w:val="nil"/>
              <w:left w:val="nil"/>
              <w:bottom w:val="nil"/>
              <w:right w:val="nil"/>
            </w:tcBorders>
            <w:shd w:val="clear" w:color="000000" w:fill="FFFFFF"/>
            <w:vAlign w:val="center"/>
            <w:hideMark/>
          </w:tcPr>
          <w:p w14:paraId="28EBFF0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7,292</w:t>
            </w:r>
          </w:p>
        </w:tc>
      </w:tr>
      <w:tr w:rsidR="00DA54F3" w:rsidRPr="001B02FE" w14:paraId="2A611C51" w14:textId="77777777" w:rsidTr="00A535DB">
        <w:trPr>
          <w:cantSplit/>
          <w:trHeight w:val="290"/>
        </w:trPr>
        <w:tc>
          <w:tcPr>
            <w:tcW w:w="5160" w:type="dxa"/>
            <w:tcBorders>
              <w:top w:val="nil"/>
              <w:left w:val="nil"/>
              <w:bottom w:val="single" w:sz="4" w:space="0" w:color="auto"/>
              <w:right w:val="nil"/>
            </w:tcBorders>
            <w:shd w:val="clear" w:color="000000" w:fill="FFFFFF"/>
            <w:vAlign w:val="center"/>
            <w:hideMark/>
          </w:tcPr>
          <w:p w14:paraId="05121831" w14:textId="77777777" w:rsidR="00DA54F3" w:rsidRPr="001B02FE" w:rsidRDefault="00DA54F3" w:rsidP="00A535DB">
            <w:pPr>
              <w:spacing w:after="0" w:line="240" w:lineRule="auto"/>
              <w:jc w:val="both"/>
              <w:rPr>
                <w:rFonts w:eastAsia="Times New Roman" w:cstheme="minorHAnsi"/>
                <w:color w:val="000000"/>
                <w:sz w:val="20"/>
                <w:szCs w:val="20"/>
                <w:lang w:eastAsia="en-GB"/>
              </w:rPr>
            </w:pPr>
            <w:r w:rsidRPr="001B02FE">
              <w:rPr>
                <w:rFonts w:eastAsia="Times New Roman" w:cstheme="minorHAnsi"/>
                <w:color w:val="000000"/>
                <w:sz w:val="20"/>
                <w:szCs w:val="20"/>
                <w:lang w:eastAsia="en-GB"/>
              </w:rPr>
              <w:t>Other taxes and social security</w:t>
            </w:r>
          </w:p>
        </w:tc>
        <w:tc>
          <w:tcPr>
            <w:tcW w:w="1500" w:type="dxa"/>
            <w:tcBorders>
              <w:top w:val="nil"/>
              <w:left w:val="nil"/>
              <w:bottom w:val="single" w:sz="4" w:space="0" w:color="auto"/>
              <w:right w:val="nil"/>
            </w:tcBorders>
            <w:shd w:val="clear" w:color="000000" w:fill="FFFFFF"/>
            <w:vAlign w:val="center"/>
            <w:hideMark/>
          </w:tcPr>
          <w:p w14:paraId="2236B066"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920</w:t>
            </w:r>
          </w:p>
        </w:tc>
        <w:tc>
          <w:tcPr>
            <w:tcW w:w="1360" w:type="dxa"/>
            <w:tcBorders>
              <w:top w:val="nil"/>
              <w:left w:val="nil"/>
              <w:bottom w:val="single" w:sz="4" w:space="0" w:color="auto"/>
              <w:right w:val="nil"/>
            </w:tcBorders>
            <w:shd w:val="clear" w:color="000000" w:fill="FFFFFF"/>
            <w:vAlign w:val="center"/>
            <w:hideMark/>
          </w:tcPr>
          <w:p w14:paraId="2719F88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678</w:t>
            </w:r>
          </w:p>
        </w:tc>
      </w:tr>
      <w:tr w:rsidR="00DA54F3" w:rsidRPr="001B02FE" w14:paraId="64D9A4C4" w14:textId="77777777" w:rsidTr="00A535DB">
        <w:trPr>
          <w:cantSplit/>
          <w:trHeight w:val="300"/>
        </w:trPr>
        <w:tc>
          <w:tcPr>
            <w:tcW w:w="5160" w:type="dxa"/>
            <w:tcBorders>
              <w:top w:val="nil"/>
              <w:left w:val="nil"/>
              <w:bottom w:val="double" w:sz="6" w:space="0" w:color="auto"/>
              <w:right w:val="nil"/>
            </w:tcBorders>
            <w:shd w:val="clear" w:color="000000" w:fill="FFFFFF"/>
            <w:vAlign w:val="center"/>
            <w:hideMark/>
          </w:tcPr>
          <w:p w14:paraId="6A881E83" w14:textId="77777777" w:rsidR="00DA54F3" w:rsidRPr="001B02FE" w:rsidRDefault="00DA54F3" w:rsidP="00A535DB">
            <w:pPr>
              <w:spacing w:after="0" w:line="240" w:lineRule="auto"/>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Total trade and other payables</w:t>
            </w:r>
          </w:p>
        </w:tc>
        <w:tc>
          <w:tcPr>
            <w:tcW w:w="1500" w:type="dxa"/>
            <w:tcBorders>
              <w:top w:val="nil"/>
              <w:left w:val="nil"/>
              <w:bottom w:val="double" w:sz="6" w:space="0" w:color="auto"/>
              <w:right w:val="nil"/>
            </w:tcBorders>
            <w:shd w:val="clear" w:color="000000" w:fill="FFFFFF"/>
            <w:vAlign w:val="center"/>
            <w:hideMark/>
          </w:tcPr>
          <w:p w14:paraId="030769F0" w14:textId="576BB063"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9,95</w:t>
            </w:r>
            <w:r w:rsidR="00294C0A">
              <w:rPr>
                <w:rFonts w:eastAsia="Times New Roman" w:cstheme="minorHAnsi"/>
                <w:b/>
                <w:bCs/>
                <w:color w:val="000000"/>
                <w:sz w:val="20"/>
                <w:szCs w:val="20"/>
                <w:lang w:eastAsia="en-GB"/>
              </w:rPr>
              <w:t>4</w:t>
            </w:r>
          </w:p>
        </w:tc>
        <w:tc>
          <w:tcPr>
            <w:tcW w:w="1360" w:type="dxa"/>
            <w:tcBorders>
              <w:top w:val="nil"/>
              <w:left w:val="nil"/>
              <w:bottom w:val="double" w:sz="6" w:space="0" w:color="auto"/>
              <w:right w:val="nil"/>
            </w:tcBorders>
            <w:shd w:val="clear" w:color="000000" w:fill="FFFFFF"/>
            <w:vAlign w:val="center"/>
            <w:hideMark/>
          </w:tcPr>
          <w:p w14:paraId="4E77CBFE"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7,970</w:t>
            </w:r>
          </w:p>
        </w:tc>
      </w:tr>
    </w:tbl>
    <w:p w14:paraId="0C92EDB7" w14:textId="77777777" w:rsidR="00DA54F3" w:rsidRPr="001B02FE" w:rsidRDefault="00DA54F3" w:rsidP="00DA54F3">
      <w:pPr>
        <w:spacing w:after="0" w:line="240" w:lineRule="auto"/>
        <w:jc w:val="both"/>
        <w:rPr>
          <w:rFonts w:eastAsia="Times New Roman" w:cstheme="minorHAnsi"/>
          <w:b/>
          <w:sz w:val="20"/>
          <w:szCs w:val="20"/>
        </w:rPr>
      </w:pPr>
    </w:p>
    <w:p w14:paraId="7BB63847" w14:textId="77777777" w:rsidR="00DA54F3" w:rsidRPr="001B02FE" w:rsidRDefault="00DA54F3" w:rsidP="00DA54F3">
      <w:pPr>
        <w:pStyle w:val="NoSpacing"/>
        <w:rPr>
          <w:rFonts w:cstheme="minorHAnsi"/>
          <w:sz w:val="20"/>
          <w:szCs w:val="20"/>
        </w:rPr>
      </w:pPr>
      <w:r w:rsidRPr="001B02FE">
        <w:rPr>
          <w:rFonts w:cstheme="minorHAnsi"/>
          <w:sz w:val="20"/>
          <w:szCs w:val="20"/>
        </w:rPr>
        <w:t>The Directors consider that the carrying amount of these liabilities approximates to their fair value.</w:t>
      </w:r>
    </w:p>
    <w:p w14:paraId="34C2394A" w14:textId="6224B232" w:rsidR="00DA54F3" w:rsidRPr="001B02FE" w:rsidRDefault="00DA54F3" w:rsidP="001B4A7C">
      <w:pPr>
        <w:pStyle w:val="NoSpacing"/>
        <w:rPr>
          <w:highlight w:val="yellow"/>
        </w:rPr>
      </w:pPr>
      <w:r w:rsidRPr="001B02FE">
        <w:rPr>
          <w:rFonts w:cstheme="minorHAnsi"/>
          <w:sz w:val="20"/>
          <w:szCs w:val="20"/>
        </w:rPr>
        <w:t>All amounts shown fall due within one year.</w:t>
      </w:r>
    </w:p>
    <w:p w14:paraId="1A1C91F2" w14:textId="77777777" w:rsidR="00DA54F3" w:rsidRPr="001B02FE" w:rsidRDefault="00DA54F3" w:rsidP="00DA54F3">
      <w:pPr>
        <w:spacing w:after="0" w:line="240" w:lineRule="auto"/>
        <w:rPr>
          <w:rFonts w:eastAsia="Times New Roman" w:cstheme="minorHAnsi"/>
          <w:b/>
          <w:sz w:val="20"/>
          <w:szCs w:val="20"/>
          <w:highlight w:val="yellow"/>
        </w:rPr>
      </w:pPr>
    </w:p>
    <w:p w14:paraId="35510B35" w14:textId="77777777" w:rsidR="00F07F37" w:rsidRDefault="00F07F37" w:rsidP="00DA54F3">
      <w:pPr>
        <w:spacing w:after="0" w:line="240" w:lineRule="auto"/>
        <w:rPr>
          <w:rFonts w:eastAsia="Times New Roman" w:cstheme="minorHAnsi"/>
          <w:b/>
          <w:sz w:val="20"/>
          <w:szCs w:val="20"/>
        </w:rPr>
      </w:pPr>
    </w:p>
    <w:p w14:paraId="6B814EEB" w14:textId="77777777" w:rsidR="00F07F37" w:rsidRDefault="00F07F37" w:rsidP="00DA54F3">
      <w:pPr>
        <w:spacing w:after="0" w:line="240" w:lineRule="auto"/>
        <w:rPr>
          <w:rFonts w:eastAsia="Times New Roman" w:cstheme="minorHAnsi"/>
          <w:b/>
          <w:sz w:val="20"/>
          <w:szCs w:val="20"/>
        </w:rPr>
      </w:pPr>
    </w:p>
    <w:p w14:paraId="33075378" w14:textId="77777777" w:rsidR="00F07F37" w:rsidRDefault="00F07F37" w:rsidP="00DA54F3">
      <w:pPr>
        <w:spacing w:after="0" w:line="240" w:lineRule="auto"/>
        <w:rPr>
          <w:rFonts w:eastAsia="Times New Roman" w:cstheme="minorHAnsi"/>
          <w:b/>
          <w:sz w:val="20"/>
          <w:szCs w:val="20"/>
        </w:rPr>
      </w:pPr>
    </w:p>
    <w:p w14:paraId="6F9F985D" w14:textId="77777777" w:rsidR="00F07F37" w:rsidRDefault="00F07F37" w:rsidP="00DA54F3">
      <w:pPr>
        <w:spacing w:after="0" w:line="240" w:lineRule="auto"/>
        <w:rPr>
          <w:rFonts w:eastAsia="Times New Roman" w:cstheme="minorHAnsi"/>
          <w:b/>
          <w:sz w:val="20"/>
          <w:szCs w:val="20"/>
        </w:rPr>
      </w:pPr>
    </w:p>
    <w:p w14:paraId="50F95DBB" w14:textId="77777777" w:rsidR="00F07F37" w:rsidRDefault="00F07F37" w:rsidP="00DA54F3">
      <w:pPr>
        <w:spacing w:after="0" w:line="240" w:lineRule="auto"/>
        <w:rPr>
          <w:rFonts w:eastAsia="Times New Roman" w:cstheme="minorHAnsi"/>
          <w:b/>
          <w:sz w:val="20"/>
          <w:szCs w:val="20"/>
        </w:rPr>
      </w:pPr>
    </w:p>
    <w:p w14:paraId="1BCF9740" w14:textId="77777777" w:rsidR="00F07F37" w:rsidRDefault="00F07F37" w:rsidP="00DA54F3">
      <w:pPr>
        <w:spacing w:after="0" w:line="240" w:lineRule="auto"/>
        <w:rPr>
          <w:rFonts w:eastAsia="Times New Roman" w:cstheme="minorHAnsi"/>
          <w:b/>
          <w:sz w:val="20"/>
          <w:szCs w:val="20"/>
        </w:rPr>
      </w:pPr>
    </w:p>
    <w:p w14:paraId="0314FDFA" w14:textId="77777777" w:rsidR="00F07F37" w:rsidRDefault="00F07F37" w:rsidP="00DA54F3">
      <w:pPr>
        <w:spacing w:after="0" w:line="240" w:lineRule="auto"/>
        <w:rPr>
          <w:rFonts w:eastAsia="Times New Roman" w:cstheme="minorHAnsi"/>
          <w:b/>
          <w:sz w:val="20"/>
          <w:szCs w:val="20"/>
        </w:rPr>
      </w:pPr>
    </w:p>
    <w:p w14:paraId="1E5D9EEE" w14:textId="77777777" w:rsidR="00F07F37" w:rsidRDefault="00F07F37" w:rsidP="00DA54F3">
      <w:pPr>
        <w:spacing w:after="0" w:line="240" w:lineRule="auto"/>
        <w:rPr>
          <w:rFonts w:eastAsia="Times New Roman" w:cstheme="minorHAnsi"/>
          <w:b/>
          <w:sz w:val="20"/>
          <w:szCs w:val="20"/>
        </w:rPr>
      </w:pPr>
    </w:p>
    <w:p w14:paraId="01E2926A" w14:textId="77777777" w:rsidR="00F07F37" w:rsidRDefault="00F07F37" w:rsidP="00DA54F3">
      <w:pPr>
        <w:spacing w:after="0" w:line="240" w:lineRule="auto"/>
        <w:rPr>
          <w:rFonts w:eastAsia="Times New Roman" w:cstheme="minorHAnsi"/>
          <w:b/>
          <w:sz w:val="20"/>
          <w:szCs w:val="20"/>
        </w:rPr>
      </w:pPr>
    </w:p>
    <w:p w14:paraId="60532460" w14:textId="77777777" w:rsidR="00F07F37" w:rsidRDefault="00F07F37" w:rsidP="00DA54F3">
      <w:pPr>
        <w:spacing w:after="0" w:line="240" w:lineRule="auto"/>
        <w:rPr>
          <w:rFonts w:eastAsia="Times New Roman" w:cstheme="minorHAnsi"/>
          <w:b/>
          <w:sz w:val="20"/>
          <w:szCs w:val="20"/>
        </w:rPr>
      </w:pPr>
    </w:p>
    <w:p w14:paraId="61C420A1" w14:textId="77777777" w:rsidR="00F07F37" w:rsidRDefault="00F07F37" w:rsidP="00DA54F3">
      <w:pPr>
        <w:spacing w:after="0" w:line="240" w:lineRule="auto"/>
        <w:rPr>
          <w:rFonts w:eastAsia="Times New Roman" w:cstheme="minorHAnsi"/>
          <w:b/>
          <w:sz w:val="20"/>
          <w:szCs w:val="20"/>
        </w:rPr>
      </w:pPr>
    </w:p>
    <w:p w14:paraId="6449CE4A" w14:textId="77777777" w:rsidR="00F07F37" w:rsidRDefault="00F07F37" w:rsidP="00DA54F3">
      <w:pPr>
        <w:spacing w:after="0" w:line="240" w:lineRule="auto"/>
        <w:rPr>
          <w:rFonts w:eastAsia="Times New Roman" w:cstheme="minorHAnsi"/>
          <w:b/>
          <w:sz w:val="20"/>
          <w:szCs w:val="20"/>
        </w:rPr>
      </w:pPr>
    </w:p>
    <w:p w14:paraId="6E1EB1E5" w14:textId="77777777" w:rsidR="00F07F37" w:rsidRDefault="00F07F37" w:rsidP="00DA54F3">
      <w:pPr>
        <w:spacing w:after="0" w:line="240" w:lineRule="auto"/>
        <w:rPr>
          <w:rFonts w:eastAsia="Times New Roman" w:cstheme="minorHAnsi"/>
          <w:b/>
          <w:sz w:val="20"/>
          <w:szCs w:val="20"/>
        </w:rPr>
      </w:pPr>
    </w:p>
    <w:p w14:paraId="2A6C903D" w14:textId="77777777" w:rsidR="00F07F37" w:rsidRDefault="00F07F37" w:rsidP="00DA54F3">
      <w:pPr>
        <w:spacing w:after="0" w:line="240" w:lineRule="auto"/>
        <w:rPr>
          <w:rFonts w:eastAsia="Times New Roman" w:cstheme="minorHAnsi"/>
          <w:b/>
          <w:sz w:val="20"/>
          <w:szCs w:val="20"/>
        </w:rPr>
      </w:pPr>
    </w:p>
    <w:p w14:paraId="1A79511E" w14:textId="77777777" w:rsidR="00F07F37" w:rsidRDefault="00F07F37" w:rsidP="00DA54F3">
      <w:pPr>
        <w:spacing w:after="0" w:line="240" w:lineRule="auto"/>
        <w:rPr>
          <w:rFonts w:eastAsia="Times New Roman" w:cstheme="minorHAnsi"/>
          <w:b/>
          <w:sz w:val="20"/>
          <w:szCs w:val="20"/>
        </w:rPr>
      </w:pPr>
    </w:p>
    <w:p w14:paraId="45D9E2CC" w14:textId="77777777" w:rsidR="00F07F37" w:rsidRDefault="00F07F37" w:rsidP="00DA54F3">
      <w:pPr>
        <w:spacing w:after="0" w:line="240" w:lineRule="auto"/>
        <w:rPr>
          <w:rFonts w:eastAsia="Times New Roman" w:cstheme="minorHAnsi"/>
          <w:b/>
          <w:sz w:val="20"/>
          <w:szCs w:val="20"/>
        </w:rPr>
      </w:pPr>
    </w:p>
    <w:p w14:paraId="3FB116D6" w14:textId="77777777" w:rsidR="00F07F37" w:rsidRDefault="00F07F37" w:rsidP="00DA54F3">
      <w:pPr>
        <w:spacing w:after="0" w:line="240" w:lineRule="auto"/>
        <w:rPr>
          <w:rFonts w:eastAsia="Times New Roman" w:cstheme="minorHAnsi"/>
          <w:b/>
          <w:sz w:val="20"/>
          <w:szCs w:val="20"/>
        </w:rPr>
      </w:pPr>
    </w:p>
    <w:p w14:paraId="4C6E4405" w14:textId="77777777" w:rsidR="00F07F37" w:rsidRDefault="00F07F37" w:rsidP="00DA54F3">
      <w:pPr>
        <w:spacing w:after="0" w:line="240" w:lineRule="auto"/>
        <w:rPr>
          <w:rFonts w:eastAsia="Times New Roman" w:cstheme="minorHAnsi"/>
          <w:b/>
          <w:sz w:val="20"/>
          <w:szCs w:val="20"/>
        </w:rPr>
      </w:pPr>
    </w:p>
    <w:p w14:paraId="1A351BF9" w14:textId="77777777" w:rsidR="00F07F37" w:rsidRDefault="00F07F37" w:rsidP="00DA54F3">
      <w:pPr>
        <w:spacing w:after="0" w:line="240" w:lineRule="auto"/>
        <w:rPr>
          <w:rFonts w:eastAsia="Times New Roman" w:cstheme="minorHAnsi"/>
          <w:b/>
          <w:sz w:val="20"/>
          <w:szCs w:val="20"/>
        </w:rPr>
      </w:pPr>
    </w:p>
    <w:p w14:paraId="597FA930" w14:textId="77777777" w:rsidR="00F07F37" w:rsidRDefault="00F07F37" w:rsidP="00DA54F3">
      <w:pPr>
        <w:spacing w:after="0" w:line="240" w:lineRule="auto"/>
        <w:rPr>
          <w:rFonts w:eastAsia="Times New Roman" w:cstheme="minorHAnsi"/>
          <w:b/>
          <w:sz w:val="20"/>
          <w:szCs w:val="20"/>
        </w:rPr>
      </w:pPr>
    </w:p>
    <w:p w14:paraId="0AD0B0A1" w14:textId="77777777" w:rsidR="00F07F37" w:rsidRDefault="00F07F37" w:rsidP="00DA54F3">
      <w:pPr>
        <w:spacing w:after="0" w:line="240" w:lineRule="auto"/>
        <w:rPr>
          <w:rFonts w:eastAsia="Times New Roman" w:cstheme="minorHAnsi"/>
          <w:b/>
          <w:sz w:val="20"/>
          <w:szCs w:val="20"/>
        </w:rPr>
      </w:pPr>
    </w:p>
    <w:p w14:paraId="55179E05" w14:textId="118A89AF" w:rsidR="00DA54F3" w:rsidRPr="001B02FE" w:rsidRDefault="00DA54F3" w:rsidP="00DA54F3">
      <w:pPr>
        <w:spacing w:after="0" w:line="240" w:lineRule="auto"/>
        <w:rPr>
          <w:rFonts w:eastAsia="Times New Roman" w:cstheme="minorHAnsi"/>
          <w:b/>
          <w:sz w:val="20"/>
          <w:szCs w:val="20"/>
        </w:rPr>
      </w:pPr>
      <w:r w:rsidRPr="001B02FE">
        <w:rPr>
          <w:rFonts w:eastAsia="Times New Roman" w:cstheme="minorHAnsi"/>
          <w:b/>
          <w:sz w:val="20"/>
          <w:szCs w:val="20"/>
        </w:rPr>
        <w:t>1</w:t>
      </w:r>
      <w:r w:rsidR="0053375B" w:rsidRPr="001B02FE">
        <w:rPr>
          <w:rFonts w:eastAsia="Times New Roman" w:cstheme="minorHAnsi"/>
          <w:b/>
          <w:sz w:val="20"/>
          <w:szCs w:val="20"/>
        </w:rPr>
        <w:t>1</w:t>
      </w:r>
      <w:r w:rsidRPr="001B02FE">
        <w:rPr>
          <w:rFonts w:eastAsia="Times New Roman" w:cstheme="minorHAnsi"/>
          <w:b/>
          <w:sz w:val="20"/>
          <w:szCs w:val="20"/>
        </w:rPr>
        <w:t>. Deferred tax</w:t>
      </w:r>
    </w:p>
    <w:p w14:paraId="06160CFF" w14:textId="77777777" w:rsidR="00DA54F3" w:rsidRPr="001B02FE" w:rsidRDefault="00DA54F3" w:rsidP="00DA54F3">
      <w:pPr>
        <w:spacing w:after="0" w:line="240" w:lineRule="auto"/>
        <w:jc w:val="both"/>
        <w:rPr>
          <w:rFonts w:eastAsia="Times New Roman" w:cstheme="minorHAnsi"/>
          <w:sz w:val="20"/>
          <w:szCs w:val="20"/>
        </w:rPr>
      </w:pPr>
    </w:p>
    <w:p w14:paraId="16FD4AB0" w14:textId="77777777" w:rsidR="00DA54F3" w:rsidRPr="001B02FE" w:rsidRDefault="00DA54F3" w:rsidP="00DA54F3">
      <w:pPr>
        <w:spacing w:after="0" w:line="240" w:lineRule="auto"/>
        <w:jc w:val="both"/>
        <w:rPr>
          <w:rFonts w:eastAsia="Times New Roman" w:cstheme="minorHAnsi"/>
          <w:sz w:val="20"/>
          <w:szCs w:val="20"/>
        </w:rPr>
      </w:pPr>
      <w:r w:rsidRPr="001B02FE">
        <w:rPr>
          <w:rFonts w:eastAsia="Times New Roman" w:cstheme="minorHAnsi"/>
          <w:sz w:val="20"/>
          <w:szCs w:val="20"/>
        </w:rPr>
        <w:t>Deferred tax is calculated in full on temporary differences under the liability method using a tax rate of 19% (</w:t>
      </w:r>
      <w:r w:rsidRPr="001B02FE">
        <w:rPr>
          <w:rFonts w:eastAsia="Times New Roman" w:cstheme="minorHAnsi"/>
          <w:sz w:val="20"/>
          <w:szCs w:val="20"/>
          <w:lang w:eastAsia="en-GB"/>
        </w:rPr>
        <w:t>year ended 31 December 2018</w:t>
      </w:r>
      <w:r w:rsidRPr="001B02FE">
        <w:rPr>
          <w:rFonts w:eastAsia="Times New Roman" w:cstheme="minorHAnsi"/>
          <w:sz w:val="20"/>
          <w:szCs w:val="20"/>
        </w:rPr>
        <w:t xml:space="preserve"> – 19%). Details of the deferred tax asset and liability, amounts recognised in profit or loss and amounts recognised in other comprehensive income are as follows:</w:t>
      </w:r>
    </w:p>
    <w:p w14:paraId="0E26F052" w14:textId="77777777" w:rsidR="00DA54F3" w:rsidRPr="001B02FE" w:rsidRDefault="00DA54F3" w:rsidP="00DA54F3">
      <w:pPr>
        <w:spacing w:after="0" w:line="240" w:lineRule="auto"/>
        <w:jc w:val="both"/>
        <w:rPr>
          <w:rFonts w:eastAsia="Times New Roman" w:cstheme="minorHAnsi"/>
          <w:sz w:val="20"/>
          <w:szCs w:val="20"/>
          <w:highlight w:val="red"/>
        </w:rPr>
      </w:pPr>
    </w:p>
    <w:tbl>
      <w:tblPr>
        <w:tblW w:w="9965" w:type="dxa"/>
        <w:tblInd w:w="-142" w:type="dxa"/>
        <w:tblLayout w:type="fixed"/>
        <w:tblLook w:val="04A0" w:firstRow="1" w:lastRow="0" w:firstColumn="1" w:lastColumn="0" w:noHBand="0" w:noVBand="1"/>
      </w:tblPr>
      <w:tblGrid>
        <w:gridCol w:w="4139"/>
        <w:gridCol w:w="964"/>
        <w:gridCol w:w="963"/>
        <w:gridCol w:w="964"/>
        <w:gridCol w:w="1320"/>
        <w:gridCol w:w="1615"/>
      </w:tblGrid>
      <w:tr w:rsidR="00DA54F3" w:rsidRPr="001B02FE" w14:paraId="3E89FAC2" w14:textId="77777777" w:rsidTr="001B02FE">
        <w:trPr>
          <w:cantSplit/>
          <w:trHeight w:val="870"/>
        </w:trPr>
        <w:tc>
          <w:tcPr>
            <w:tcW w:w="4139" w:type="dxa"/>
            <w:tcBorders>
              <w:top w:val="nil"/>
              <w:left w:val="nil"/>
              <w:bottom w:val="nil"/>
              <w:right w:val="nil"/>
            </w:tcBorders>
            <w:shd w:val="clear" w:color="000000" w:fill="FFFFFF"/>
            <w:vAlign w:val="center"/>
            <w:hideMark/>
          </w:tcPr>
          <w:p w14:paraId="71083A08" w14:textId="77777777" w:rsidR="00DA54F3" w:rsidRPr="001B02FE" w:rsidRDefault="00DA54F3" w:rsidP="00A535DB">
            <w:pPr>
              <w:spacing w:after="0" w:line="240" w:lineRule="auto"/>
              <w:jc w:val="both"/>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Year ended 31 December 2019:</w:t>
            </w:r>
          </w:p>
        </w:tc>
        <w:tc>
          <w:tcPr>
            <w:tcW w:w="964" w:type="dxa"/>
            <w:tcBorders>
              <w:top w:val="nil"/>
              <w:left w:val="nil"/>
              <w:bottom w:val="nil"/>
              <w:right w:val="nil"/>
            </w:tcBorders>
            <w:shd w:val="clear" w:color="000000" w:fill="FFFFFF"/>
            <w:vAlign w:val="center"/>
            <w:hideMark/>
          </w:tcPr>
          <w:p w14:paraId="63A73586"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Asset</w:t>
            </w:r>
          </w:p>
        </w:tc>
        <w:tc>
          <w:tcPr>
            <w:tcW w:w="963" w:type="dxa"/>
            <w:tcBorders>
              <w:top w:val="nil"/>
              <w:left w:val="nil"/>
              <w:bottom w:val="nil"/>
              <w:right w:val="nil"/>
            </w:tcBorders>
            <w:shd w:val="clear" w:color="000000" w:fill="FFFFFF"/>
            <w:vAlign w:val="center"/>
            <w:hideMark/>
          </w:tcPr>
          <w:p w14:paraId="20BD2FD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Liability</w:t>
            </w:r>
          </w:p>
        </w:tc>
        <w:tc>
          <w:tcPr>
            <w:tcW w:w="964" w:type="dxa"/>
            <w:tcBorders>
              <w:top w:val="nil"/>
              <w:left w:val="nil"/>
              <w:bottom w:val="nil"/>
              <w:right w:val="nil"/>
            </w:tcBorders>
            <w:shd w:val="clear" w:color="000000" w:fill="FFFFFF"/>
            <w:vAlign w:val="center"/>
            <w:hideMark/>
          </w:tcPr>
          <w:p w14:paraId="14E05279"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Net</w:t>
            </w:r>
          </w:p>
        </w:tc>
        <w:tc>
          <w:tcPr>
            <w:tcW w:w="1320" w:type="dxa"/>
            <w:tcBorders>
              <w:top w:val="nil"/>
              <w:left w:val="nil"/>
              <w:bottom w:val="nil"/>
              <w:right w:val="nil"/>
            </w:tcBorders>
            <w:shd w:val="clear" w:color="000000" w:fill="FFFFFF"/>
            <w:vAlign w:val="center"/>
            <w:hideMark/>
          </w:tcPr>
          <w:p w14:paraId="7CC8B4DC"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(Charged)/ credited to profit or loss</w:t>
            </w:r>
          </w:p>
        </w:tc>
        <w:tc>
          <w:tcPr>
            <w:tcW w:w="1615" w:type="dxa"/>
            <w:tcBorders>
              <w:top w:val="nil"/>
              <w:left w:val="nil"/>
              <w:bottom w:val="nil"/>
              <w:right w:val="nil"/>
            </w:tcBorders>
            <w:shd w:val="clear" w:color="000000" w:fill="FFFFFF"/>
            <w:vAlign w:val="center"/>
            <w:hideMark/>
          </w:tcPr>
          <w:p w14:paraId="3ACF520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(Charged)/ credited to equity</w:t>
            </w:r>
          </w:p>
        </w:tc>
      </w:tr>
      <w:tr w:rsidR="00DA54F3" w:rsidRPr="001B02FE" w14:paraId="6E5185D7" w14:textId="77777777" w:rsidTr="001B02FE">
        <w:trPr>
          <w:cantSplit/>
          <w:trHeight w:val="290"/>
        </w:trPr>
        <w:tc>
          <w:tcPr>
            <w:tcW w:w="4139" w:type="dxa"/>
            <w:tcBorders>
              <w:top w:val="nil"/>
              <w:left w:val="nil"/>
              <w:bottom w:val="single" w:sz="4" w:space="0" w:color="auto"/>
              <w:right w:val="nil"/>
            </w:tcBorders>
            <w:shd w:val="clear" w:color="000000" w:fill="FFFFFF"/>
            <w:vAlign w:val="center"/>
            <w:hideMark/>
          </w:tcPr>
          <w:p w14:paraId="4E65AAC2" w14:textId="77777777" w:rsidR="00DA54F3" w:rsidRPr="001B02FE" w:rsidRDefault="00DA54F3" w:rsidP="00A535DB">
            <w:pPr>
              <w:spacing w:after="0" w:line="240" w:lineRule="auto"/>
              <w:jc w:val="both"/>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64" w:type="dxa"/>
            <w:tcBorders>
              <w:top w:val="nil"/>
              <w:left w:val="nil"/>
              <w:bottom w:val="single" w:sz="4" w:space="0" w:color="auto"/>
              <w:right w:val="nil"/>
            </w:tcBorders>
            <w:shd w:val="clear" w:color="000000" w:fill="FFFFFF"/>
            <w:vAlign w:val="center"/>
            <w:hideMark/>
          </w:tcPr>
          <w:p w14:paraId="2D54BCD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c>
          <w:tcPr>
            <w:tcW w:w="963" w:type="dxa"/>
            <w:tcBorders>
              <w:top w:val="nil"/>
              <w:left w:val="nil"/>
              <w:bottom w:val="single" w:sz="4" w:space="0" w:color="auto"/>
              <w:right w:val="nil"/>
            </w:tcBorders>
            <w:shd w:val="clear" w:color="000000" w:fill="FFFFFF"/>
            <w:vAlign w:val="center"/>
            <w:hideMark/>
          </w:tcPr>
          <w:p w14:paraId="26DDD20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c>
          <w:tcPr>
            <w:tcW w:w="964" w:type="dxa"/>
            <w:tcBorders>
              <w:top w:val="nil"/>
              <w:left w:val="nil"/>
              <w:bottom w:val="single" w:sz="4" w:space="0" w:color="auto"/>
              <w:right w:val="nil"/>
            </w:tcBorders>
            <w:shd w:val="clear" w:color="000000" w:fill="FFFFFF"/>
            <w:vAlign w:val="center"/>
            <w:hideMark/>
          </w:tcPr>
          <w:p w14:paraId="26CE764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c>
          <w:tcPr>
            <w:tcW w:w="1320" w:type="dxa"/>
            <w:tcBorders>
              <w:top w:val="nil"/>
              <w:left w:val="nil"/>
              <w:bottom w:val="single" w:sz="4" w:space="0" w:color="auto"/>
              <w:right w:val="nil"/>
            </w:tcBorders>
            <w:shd w:val="clear" w:color="000000" w:fill="FFFFFF"/>
            <w:vAlign w:val="center"/>
            <w:hideMark/>
          </w:tcPr>
          <w:p w14:paraId="599BB285"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c>
          <w:tcPr>
            <w:tcW w:w="1615" w:type="dxa"/>
            <w:tcBorders>
              <w:top w:val="nil"/>
              <w:left w:val="nil"/>
              <w:bottom w:val="single" w:sz="4" w:space="0" w:color="auto"/>
              <w:right w:val="nil"/>
            </w:tcBorders>
            <w:shd w:val="clear" w:color="000000" w:fill="FFFFFF"/>
            <w:vAlign w:val="center"/>
            <w:hideMark/>
          </w:tcPr>
          <w:p w14:paraId="451C6B6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£’000</w:t>
            </w:r>
          </w:p>
        </w:tc>
      </w:tr>
      <w:tr w:rsidR="00DA54F3" w:rsidRPr="001B02FE" w14:paraId="24E5C8C2" w14:textId="77777777" w:rsidTr="001B02FE">
        <w:trPr>
          <w:cantSplit/>
          <w:trHeight w:val="290"/>
        </w:trPr>
        <w:tc>
          <w:tcPr>
            <w:tcW w:w="4139" w:type="dxa"/>
            <w:tcBorders>
              <w:top w:val="nil"/>
              <w:left w:val="nil"/>
              <w:bottom w:val="nil"/>
              <w:right w:val="nil"/>
            </w:tcBorders>
            <w:shd w:val="clear" w:color="000000" w:fill="FFFFFF"/>
            <w:vAlign w:val="center"/>
            <w:hideMark/>
          </w:tcPr>
          <w:p w14:paraId="48887C1F" w14:textId="77777777" w:rsidR="00DA54F3" w:rsidRPr="001B02FE" w:rsidRDefault="00DA54F3" w:rsidP="00A535DB">
            <w:pPr>
              <w:spacing w:after="0" w:line="240" w:lineRule="auto"/>
              <w:jc w:val="both"/>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64" w:type="dxa"/>
            <w:tcBorders>
              <w:top w:val="nil"/>
              <w:left w:val="nil"/>
              <w:bottom w:val="nil"/>
              <w:right w:val="nil"/>
            </w:tcBorders>
            <w:shd w:val="clear" w:color="000000" w:fill="FFFFFF"/>
            <w:vAlign w:val="center"/>
            <w:hideMark/>
          </w:tcPr>
          <w:p w14:paraId="370E8435"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63" w:type="dxa"/>
            <w:tcBorders>
              <w:top w:val="nil"/>
              <w:left w:val="nil"/>
              <w:bottom w:val="nil"/>
              <w:right w:val="nil"/>
            </w:tcBorders>
            <w:shd w:val="clear" w:color="000000" w:fill="FFFFFF"/>
            <w:vAlign w:val="center"/>
            <w:hideMark/>
          </w:tcPr>
          <w:p w14:paraId="42F2C20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64" w:type="dxa"/>
            <w:tcBorders>
              <w:top w:val="nil"/>
              <w:left w:val="nil"/>
              <w:bottom w:val="nil"/>
              <w:right w:val="nil"/>
            </w:tcBorders>
            <w:shd w:val="clear" w:color="000000" w:fill="FFFFFF"/>
            <w:vAlign w:val="center"/>
            <w:hideMark/>
          </w:tcPr>
          <w:p w14:paraId="7609E858"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320" w:type="dxa"/>
            <w:tcBorders>
              <w:top w:val="nil"/>
              <w:left w:val="nil"/>
              <w:bottom w:val="nil"/>
              <w:right w:val="nil"/>
            </w:tcBorders>
            <w:shd w:val="clear" w:color="000000" w:fill="FFFFFF"/>
            <w:vAlign w:val="center"/>
            <w:hideMark/>
          </w:tcPr>
          <w:p w14:paraId="7523707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615" w:type="dxa"/>
            <w:tcBorders>
              <w:top w:val="nil"/>
              <w:left w:val="nil"/>
              <w:bottom w:val="nil"/>
              <w:right w:val="nil"/>
            </w:tcBorders>
            <w:shd w:val="clear" w:color="000000" w:fill="FFFFFF"/>
            <w:vAlign w:val="center"/>
            <w:hideMark/>
          </w:tcPr>
          <w:p w14:paraId="6B9DEEF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r>
      <w:tr w:rsidR="00DA54F3" w:rsidRPr="001B02FE" w14:paraId="5F662A24" w14:textId="77777777" w:rsidTr="001B02FE">
        <w:trPr>
          <w:cantSplit/>
          <w:trHeight w:val="290"/>
        </w:trPr>
        <w:tc>
          <w:tcPr>
            <w:tcW w:w="4139" w:type="dxa"/>
            <w:tcBorders>
              <w:top w:val="nil"/>
              <w:left w:val="nil"/>
              <w:bottom w:val="nil"/>
              <w:right w:val="nil"/>
            </w:tcBorders>
            <w:shd w:val="clear" w:color="000000" w:fill="FFFFFF"/>
            <w:vAlign w:val="center"/>
            <w:hideMark/>
          </w:tcPr>
          <w:p w14:paraId="1E538F86" w14:textId="77777777" w:rsidR="00DA54F3" w:rsidRPr="001B02FE" w:rsidRDefault="00DA54F3" w:rsidP="00A535DB">
            <w:pPr>
              <w:spacing w:after="0" w:line="240" w:lineRule="auto"/>
              <w:jc w:val="both"/>
              <w:rPr>
                <w:rFonts w:eastAsia="Times New Roman" w:cstheme="minorHAnsi"/>
                <w:color w:val="000000"/>
                <w:sz w:val="20"/>
                <w:szCs w:val="20"/>
                <w:lang w:eastAsia="en-GB"/>
              </w:rPr>
            </w:pPr>
            <w:r w:rsidRPr="001B02FE">
              <w:rPr>
                <w:rFonts w:eastAsia="Times New Roman" w:cstheme="minorHAnsi"/>
                <w:color w:val="000000"/>
                <w:sz w:val="20"/>
                <w:szCs w:val="20"/>
                <w:lang w:eastAsia="en-GB"/>
              </w:rPr>
              <w:t>Accelerated capital allowances</w:t>
            </w:r>
          </w:p>
        </w:tc>
        <w:tc>
          <w:tcPr>
            <w:tcW w:w="964" w:type="dxa"/>
            <w:tcBorders>
              <w:top w:val="nil"/>
              <w:left w:val="nil"/>
              <w:bottom w:val="nil"/>
              <w:right w:val="nil"/>
            </w:tcBorders>
            <w:shd w:val="clear" w:color="000000" w:fill="FFFFFF"/>
            <w:vAlign w:val="center"/>
            <w:hideMark/>
          </w:tcPr>
          <w:p w14:paraId="06B5C161"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63" w:type="dxa"/>
            <w:tcBorders>
              <w:top w:val="nil"/>
              <w:left w:val="nil"/>
              <w:bottom w:val="nil"/>
              <w:right w:val="nil"/>
            </w:tcBorders>
            <w:shd w:val="clear" w:color="000000" w:fill="FFFFFF"/>
            <w:vAlign w:val="center"/>
            <w:hideMark/>
          </w:tcPr>
          <w:p w14:paraId="05C8547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(382)</w:t>
            </w:r>
          </w:p>
        </w:tc>
        <w:tc>
          <w:tcPr>
            <w:tcW w:w="964" w:type="dxa"/>
            <w:tcBorders>
              <w:top w:val="nil"/>
              <w:left w:val="nil"/>
              <w:bottom w:val="nil"/>
              <w:right w:val="nil"/>
            </w:tcBorders>
            <w:shd w:val="clear" w:color="000000" w:fill="FFFFFF"/>
            <w:vAlign w:val="center"/>
            <w:hideMark/>
          </w:tcPr>
          <w:p w14:paraId="715D5C3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(382)</w:t>
            </w:r>
          </w:p>
        </w:tc>
        <w:tc>
          <w:tcPr>
            <w:tcW w:w="1320" w:type="dxa"/>
            <w:tcBorders>
              <w:top w:val="nil"/>
              <w:left w:val="nil"/>
              <w:bottom w:val="nil"/>
              <w:right w:val="nil"/>
            </w:tcBorders>
            <w:shd w:val="clear" w:color="000000" w:fill="FFFFFF"/>
            <w:vAlign w:val="center"/>
            <w:hideMark/>
          </w:tcPr>
          <w:p w14:paraId="25A72437"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(63)</w:t>
            </w:r>
          </w:p>
        </w:tc>
        <w:tc>
          <w:tcPr>
            <w:tcW w:w="1615" w:type="dxa"/>
            <w:tcBorders>
              <w:top w:val="nil"/>
              <w:left w:val="nil"/>
              <w:bottom w:val="nil"/>
              <w:right w:val="nil"/>
            </w:tcBorders>
            <w:shd w:val="clear" w:color="000000" w:fill="FFFFFF"/>
            <w:vAlign w:val="center"/>
            <w:hideMark/>
          </w:tcPr>
          <w:p w14:paraId="1825060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r>
      <w:tr w:rsidR="00DA54F3" w:rsidRPr="001B02FE" w14:paraId="2D821964" w14:textId="77777777" w:rsidTr="001B02FE">
        <w:trPr>
          <w:cantSplit/>
          <w:trHeight w:val="290"/>
        </w:trPr>
        <w:tc>
          <w:tcPr>
            <w:tcW w:w="4139" w:type="dxa"/>
            <w:tcBorders>
              <w:top w:val="nil"/>
              <w:left w:val="nil"/>
              <w:bottom w:val="nil"/>
              <w:right w:val="nil"/>
            </w:tcBorders>
            <w:shd w:val="clear" w:color="000000" w:fill="FFFFFF"/>
            <w:vAlign w:val="center"/>
            <w:hideMark/>
          </w:tcPr>
          <w:p w14:paraId="6D6B85DC" w14:textId="77777777" w:rsidR="00DA54F3" w:rsidRPr="001B02FE" w:rsidRDefault="00DA54F3" w:rsidP="00A535DB">
            <w:pPr>
              <w:spacing w:after="0" w:line="240" w:lineRule="auto"/>
              <w:jc w:val="both"/>
              <w:rPr>
                <w:rFonts w:eastAsia="Times New Roman" w:cstheme="minorHAnsi"/>
                <w:color w:val="000000"/>
                <w:sz w:val="20"/>
                <w:szCs w:val="20"/>
                <w:lang w:eastAsia="en-GB"/>
              </w:rPr>
            </w:pPr>
            <w:r w:rsidRPr="001B02FE">
              <w:rPr>
                <w:rFonts w:eastAsia="Times New Roman" w:cstheme="minorHAnsi"/>
                <w:color w:val="000000"/>
                <w:sz w:val="20"/>
                <w:szCs w:val="20"/>
                <w:lang w:eastAsia="en-GB"/>
              </w:rPr>
              <w:t>Available losses</w:t>
            </w:r>
          </w:p>
        </w:tc>
        <w:tc>
          <w:tcPr>
            <w:tcW w:w="964" w:type="dxa"/>
            <w:tcBorders>
              <w:top w:val="nil"/>
              <w:left w:val="nil"/>
              <w:bottom w:val="nil"/>
              <w:right w:val="nil"/>
            </w:tcBorders>
            <w:shd w:val="clear" w:color="000000" w:fill="FFFFFF"/>
            <w:vAlign w:val="center"/>
            <w:hideMark/>
          </w:tcPr>
          <w:p w14:paraId="50FB408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761</w:t>
            </w:r>
          </w:p>
        </w:tc>
        <w:tc>
          <w:tcPr>
            <w:tcW w:w="963" w:type="dxa"/>
            <w:tcBorders>
              <w:top w:val="nil"/>
              <w:left w:val="nil"/>
              <w:bottom w:val="nil"/>
              <w:right w:val="nil"/>
            </w:tcBorders>
            <w:shd w:val="clear" w:color="000000" w:fill="FFFFFF"/>
            <w:vAlign w:val="center"/>
            <w:hideMark/>
          </w:tcPr>
          <w:p w14:paraId="51E6912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64" w:type="dxa"/>
            <w:tcBorders>
              <w:top w:val="nil"/>
              <w:left w:val="nil"/>
              <w:bottom w:val="nil"/>
              <w:right w:val="nil"/>
            </w:tcBorders>
            <w:shd w:val="clear" w:color="000000" w:fill="FFFFFF"/>
            <w:vAlign w:val="center"/>
            <w:hideMark/>
          </w:tcPr>
          <w:p w14:paraId="155C0593"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761</w:t>
            </w:r>
          </w:p>
        </w:tc>
        <w:tc>
          <w:tcPr>
            <w:tcW w:w="1320" w:type="dxa"/>
            <w:tcBorders>
              <w:top w:val="nil"/>
              <w:left w:val="nil"/>
              <w:bottom w:val="nil"/>
              <w:right w:val="nil"/>
            </w:tcBorders>
            <w:shd w:val="clear" w:color="000000" w:fill="FFFFFF"/>
            <w:vAlign w:val="center"/>
            <w:hideMark/>
          </w:tcPr>
          <w:p w14:paraId="064EA1E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(564)</w:t>
            </w:r>
          </w:p>
        </w:tc>
        <w:tc>
          <w:tcPr>
            <w:tcW w:w="1615" w:type="dxa"/>
            <w:tcBorders>
              <w:top w:val="nil"/>
              <w:left w:val="nil"/>
              <w:bottom w:val="nil"/>
              <w:right w:val="nil"/>
            </w:tcBorders>
            <w:shd w:val="clear" w:color="000000" w:fill="FFFFFF"/>
            <w:vAlign w:val="center"/>
            <w:hideMark/>
          </w:tcPr>
          <w:p w14:paraId="11A6226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r>
      <w:tr w:rsidR="00DA54F3" w:rsidRPr="001B02FE" w14:paraId="5D75A0DA" w14:textId="77777777" w:rsidTr="001B02FE">
        <w:trPr>
          <w:cantSplit/>
          <w:trHeight w:val="290"/>
        </w:trPr>
        <w:tc>
          <w:tcPr>
            <w:tcW w:w="4139" w:type="dxa"/>
            <w:tcBorders>
              <w:top w:val="nil"/>
              <w:left w:val="nil"/>
              <w:bottom w:val="nil"/>
              <w:right w:val="nil"/>
            </w:tcBorders>
            <w:shd w:val="clear" w:color="000000" w:fill="FFFFFF"/>
            <w:vAlign w:val="center"/>
            <w:hideMark/>
          </w:tcPr>
          <w:p w14:paraId="7314DA9B" w14:textId="77777777" w:rsidR="00DA54F3" w:rsidRPr="001B02FE" w:rsidRDefault="00DA54F3" w:rsidP="00A535DB">
            <w:pPr>
              <w:spacing w:after="0" w:line="240" w:lineRule="auto"/>
              <w:jc w:val="both"/>
              <w:rPr>
                <w:rFonts w:eastAsia="Times New Roman" w:cstheme="minorHAnsi"/>
                <w:color w:val="000000"/>
                <w:sz w:val="20"/>
                <w:szCs w:val="20"/>
                <w:lang w:eastAsia="en-GB"/>
              </w:rPr>
            </w:pPr>
            <w:r w:rsidRPr="001B02FE">
              <w:rPr>
                <w:rFonts w:eastAsia="Times New Roman" w:cstheme="minorHAnsi"/>
                <w:color w:val="000000"/>
                <w:sz w:val="20"/>
                <w:szCs w:val="20"/>
                <w:lang w:eastAsia="en-GB"/>
              </w:rPr>
              <w:t>Other temporary and deductible differences</w:t>
            </w:r>
          </w:p>
        </w:tc>
        <w:tc>
          <w:tcPr>
            <w:tcW w:w="964" w:type="dxa"/>
            <w:tcBorders>
              <w:top w:val="nil"/>
              <w:left w:val="nil"/>
              <w:bottom w:val="nil"/>
              <w:right w:val="nil"/>
            </w:tcBorders>
            <w:shd w:val="clear" w:color="000000" w:fill="FFFFFF"/>
            <w:vAlign w:val="center"/>
            <w:hideMark/>
          </w:tcPr>
          <w:p w14:paraId="02135EE1"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507</w:t>
            </w:r>
          </w:p>
        </w:tc>
        <w:tc>
          <w:tcPr>
            <w:tcW w:w="963" w:type="dxa"/>
            <w:tcBorders>
              <w:top w:val="nil"/>
              <w:left w:val="nil"/>
              <w:bottom w:val="nil"/>
              <w:right w:val="nil"/>
            </w:tcBorders>
            <w:shd w:val="clear" w:color="000000" w:fill="FFFFFF"/>
            <w:vAlign w:val="center"/>
            <w:hideMark/>
          </w:tcPr>
          <w:p w14:paraId="3C2B86E0"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64" w:type="dxa"/>
            <w:tcBorders>
              <w:top w:val="nil"/>
              <w:left w:val="nil"/>
              <w:bottom w:val="nil"/>
              <w:right w:val="nil"/>
            </w:tcBorders>
            <w:shd w:val="clear" w:color="000000" w:fill="FFFFFF"/>
            <w:vAlign w:val="center"/>
            <w:hideMark/>
          </w:tcPr>
          <w:p w14:paraId="6CE20E80"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507</w:t>
            </w:r>
          </w:p>
        </w:tc>
        <w:tc>
          <w:tcPr>
            <w:tcW w:w="1320" w:type="dxa"/>
            <w:tcBorders>
              <w:top w:val="nil"/>
              <w:left w:val="nil"/>
              <w:bottom w:val="nil"/>
              <w:right w:val="nil"/>
            </w:tcBorders>
            <w:shd w:val="clear" w:color="000000" w:fill="FFFFFF"/>
            <w:vAlign w:val="center"/>
            <w:hideMark/>
          </w:tcPr>
          <w:p w14:paraId="37532E2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84</w:t>
            </w:r>
          </w:p>
        </w:tc>
        <w:tc>
          <w:tcPr>
            <w:tcW w:w="1615" w:type="dxa"/>
            <w:tcBorders>
              <w:top w:val="nil"/>
              <w:left w:val="nil"/>
              <w:bottom w:val="nil"/>
              <w:right w:val="nil"/>
            </w:tcBorders>
            <w:shd w:val="clear" w:color="000000" w:fill="FFFFFF"/>
            <w:vAlign w:val="center"/>
            <w:hideMark/>
          </w:tcPr>
          <w:p w14:paraId="0D1E4625"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r>
      <w:tr w:rsidR="00DA54F3" w:rsidRPr="001B02FE" w14:paraId="38982110" w14:textId="77777777" w:rsidTr="001B02FE">
        <w:trPr>
          <w:cantSplit/>
          <w:trHeight w:val="290"/>
        </w:trPr>
        <w:tc>
          <w:tcPr>
            <w:tcW w:w="4139" w:type="dxa"/>
            <w:tcBorders>
              <w:top w:val="nil"/>
              <w:left w:val="nil"/>
              <w:bottom w:val="nil"/>
              <w:right w:val="nil"/>
            </w:tcBorders>
            <w:shd w:val="clear" w:color="000000" w:fill="FFFFFF"/>
            <w:vAlign w:val="center"/>
            <w:hideMark/>
          </w:tcPr>
          <w:p w14:paraId="04A8B9DE"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Business combinations</w:t>
            </w:r>
          </w:p>
        </w:tc>
        <w:tc>
          <w:tcPr>
            <w:tcW w:w="964" w:type="dxa"/>
            <w:tcBorders>
              <w:top w:val="nil"/>
              <w:left w:val="nil"/>
              <w:bottom w:val="nil"/>
              <w:right w:val="nil"/>
            </w:tcBorders>
            <w:shd w:val="clear" w:color="000000" w:fill="FFFFFF"/>
            <w:vAlign w:val="center"/>
            <w:hideMark/>
          </w:tcPr>
          <w:p w14:paraId="57EF37FD"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63" w:type="dxa"/>
            <w:tcBorders>
              <w:top w:val="nil"/>
              <w:left w:val="nil"/>
              <w:bottom w:val="nil"/>
              <w:right w:val="nil"/>
            </w:tcBorders>
            <w:shd w:val="clear" w:color="000000" w:fill="FFFFFF"/>
            <w:vAlign w:val="center"/>
            <w:hideMark/>
          </w:tcPr>
          <w:p w14:paraId="0F43C38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(2,472)</w:t>
            </w:r>
          </w:p>
        </w:tc>
        <w:tc>
          <w:tcPr>
            <w:tcW w:w="964" w:type="dxa"/>
            <w:tcBorders>
              <w:top w:val="nil"/>
              <w:left w:val="nil"/>
              <w:bottom w:val="nil"/>
              <w:right w:val="nil"/>
            </w:tcBorders>
            <w:shd w:val="clear" w:color="000000" w:fill="FFFFFF"/>
            <w:vAlign w:val="center"/>
            <w:hideMark/>
          </w:tcPr>
          <w:p w14:paraId="35B19525"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(2,472)</w:t>
            </w:r>
          </w:p>
        </w:tc>
        <w:tc>
          <w:tcPr>
            <w:tcW w:w="1320" w:type="dxa"/>
            <w:tcBorders>
              <w:top w:val="nil"/>
              <w:left w:val="nil"/>
              <w:bottom w:val="nil"/>
              <w:right w:val="nil"/>
            </w:tcBorders>
            <w:shd w:val="clear" w:color="000000" w:fill="FFFFFF"/>
            <w:vAlign w:val="center"/>
            <w:hideMark/>
          </w:tcPr>
          <w:p w14:paraId="78B38AA0"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(11)</w:t>
            </w:r>
          </w:p>
        </w:tc>
        <w:tc>
          <w:tcPr>
            <w:tcW w:w="1615" w:type="dxa"/>
            <w:tcBorders>
              <w:top w:val="nil"/>
              <w:left w:val="nil"/>
              <w:bottom w:val="nil"/>
              <w:right w:val="nil"/>
            </w:tcBorders>
            <w:shd w:val="clear" w:color="000000" w:fill="FFFFFF"/>
            <w:vAlign w:val="center"/>
            <w:hideMark/>
          </w:tcPr>
          <w:p w14:paraId="1ADA025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r>
      <w:tr w:rsidR="00DA54F3" w:rsidRPr="001B02FE" w14:paraId="5865F968" w14:textId="77777777" w:rsidTr="001B02FE">
        <w:trPr>
          <w:cantSplit/>
          <w:trHeight w:val="290"/>
        </w:trPr>
        <w:tc>
          <w:tcPr>
            <w:tcW w:w="4139" w:type="dxa"/>
            <w:tcBorders>
              <w:top w:val="nil"/>
              <w:left w:val="nil"/>
              <w:bottom w:val="single" w:sz="4" w:space="0" w:color="auto"/>
              <w:right w:val="nil"/>
            </w:tcBorders>
            <w:shd w:val="clear" w:color="000000" w:fill="FFFFFF"/>
            <w:vAlign w:val="center"/>
            <w:hideMark/>
          </w:tcPr>
          <w:p w14:paraId="3F3946C4"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Cash flow hedges</w:t>
            </w:r>
          </w:p>
        </w:tc>
        <w:tc>
          <w:tcPr>
            <w:tcW w:w="964" w:type="dxa"/>
            <w:tcBorders>
              <w:top w:val="nil"/>
              <w:left w:val="nil"/>
              <w:bottom w:val="single" w:sz="4" w:space="0" w:color="auto"/>
              <w:right w:val="nil"/>
            </w:tcBorders>
            <w:shd w:val="clear" w:color="000000" w:fill="FFFFFF"/>
            <w:vAlign w:val="center"/>
            <w:hideMark/>
          </w:tcPr>
          <w:p w14:paraId="135CB2E2"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33</w:t>
            </w:r>
          </w:p>
        </w:tc>
        <w:tc>
          <w:tcPr>
            <w:tcW w:w="963" w:type="dxa"/>
            <w:tcBorders>
              <w:top w:val="nil"/>
              <w:left w:val="nil"/>
              <w:bottom w:val="single" w:sz="4" w:space="0" w:color="auto"/>
              <w:right w:val="nil"/>
            </w:tcBorders>
            <w:shd w:val="clear" w:color="000000" w:fill="FFFFFF"/>
            <w:vAlign w:val="center"/>
            <w:hideMark/>
          </w:tcPr>
          <w:p w14:paraId="66474E3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964" w:type="dxa"/>
            <w:tcBorders>
              <w:top w:val="nil"/>
              <w:left w:val="nil"/>
              <w:bottom w:val="single" w:sz="4" w:space="0" w:color="auto"/>
              <w:right w:val="nil"/>
            </w:tcBorders>
            <w:shd w:val="clear" w:color="000000" w:fill="FFFFFF"/>
            <w:vAlign w:val="center"/>
            <w:hideMark/>
          </w:tcPr>
          <w:p w14:paraId="58912E3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33</w:t>
            </w:r>
          </w:p>
        </w:tc>
        <w:tc>
          <w:tcPr>
            <w:tcW w:w="1320" w:type="dxa"/>
            <w:tcBorders>
              <w:top w:val="nil"/>
              <w:left w:val="nil"/>
              <w:bottom w:val="single" w:sz="4" w:space="0" w:color="auto"/>
              <w:right w:val="nil"/>
            </w:tcBorders>
            <w:shd w:val="clear" w:color="000000" w:fill="FFFFFF"/>
            <w:vAlign w:val="center"/>
            <w:hideMark/>
          </w:tcPr>
          <w:p w14:paraId="54A796D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615" w:type="dxa"/>
            <w:tcBorders>
              <w:top w:val="nil"/>
              <w:left w:val="nil"/>
              <w:bottom w:val="single" w:sz="4" w:space="0" w:color="auto"/>
              <w:right w:val="nil"/>
            </w:tcBorders>
            <w:shd w:val="clear" w:color="000000" w:fill="FFFFFF"/>
            <w:vAlign w:val="center"/>
            <w:hideMark/>
          </w:tcPr>
          <w:p w14:paraId="3C5307F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33</w:t>
            </w:r>
          </w:p>
        </w:tc>
      </w:tr>
      <w:tr w:rsidR="00DA54F3" w:rsidRPr="001B02FE" w14:paraId="55E383E4" w14:textId="77777777" w:rsidTr="001B02FE">
        <w:trPr>
          <w:cantSplit/>
          <w:trHeight w:hRule="exact" w:val="290"/>
        </w:trPr>
        <w:tc>
          <w:tcPr>
            <w:tcW w:w="4139" w:type="dxa"/>
            <w:tcBorders>
              <w:top w:val="nil"/>
              <w:left w:val="nil"/>
              <w:bottom w:val="single" w:sz="4" w:space="0" w:color="auto"/>
              <w:right w:val="nil"/>
            </w:tcBorders>
            <w:shd w:val="clear" w:color="000000" w:fill="FFFFFF"/>
            <w:vAlign w:val="center"/>
            <w:hideMark/>
          </w:tcPr>
          <w:p w14:paraId="5B1DE0B9" w14:textId="77777777" w:rsidR="00DA54F3" w:rsidRPr="001B02FE" w:rsidRDefault="00DA54F3" w:rsidP="00A535DB">
            <w:pPr>
              <w:spacing w:after="0" w:line="240" w:lineRule="auto"/>
              <w:jc w:val="both"/>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Net tax assets/ (liabilities)</w:t>
            </w:r>
          </w:p>
        </w:tc>
        <w:tc>
          <w:tcPr>
            <w:tcW w:w="964" w:type="dxa"/>
            <w:tcBorders>
              <w:top w:val="nil"/>
              <w:left w:val="nil"/>
              <w:bottom w:val="single" w:sz="4" w:space="0" w:color="auto"/>
              <w:right w:val="nil"/>
            </w:tcBorders>
            <w:shd w:val="clear" w:color="000000" w:fill="FFFFFF"/>
            <w:vAlign w:val="center"/>
            <w:hideMark/>
          </w:tcPr>
          <w:p w14:paraId="24430029"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1,301</w:t>
            </w:r>
          </w:p>
        </w:tc>
        <w:tc>
          <w:tcPr>
            <w:tcW w:w="963" w:type="dxa"/>
            <w:tcBorders>
              <w:top w:val="nil"/>
              <w:left w:val="nil"/>
              <w:bottom w:val="single" w:sz="4" w:space="0" w:color="auto"/>
              <w:right w:val="nil"/>
            </w:tcBorders>
            <w:shd w:val="clear" w:color="000000" w:fill="FFFFFF"/>
            <w:vAlign w:val="center"/>
            <w:hideMark/>
          </w:tcPr>
          <w:p w14:paraId="3969EE66"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(2,854)</w:t>
            </w:r>
          </w:p>
        </w:tc>
        <w:tc>
          <w:tcPr>
            <w:tcW w:w="964" w:type="dxa"/>
            <w:tcBorders>
              <w:top w:val="nil"/>
              <w:left w:val="nil"/>
              <w:bottom w:val="single" w:sz="4" w:space="0" w:color="auto"/>
              <w:right w:val="nil"/>
            </w:tcBorders>
            <w:shd w:val="clear" w:color="000000" w:fill="FFFFFF"/>
            <w:vAlign w:val="center"/>
            <w:hideMark/>
          </w:tcPr>
          <w:p w14:paraId="2FEBA02A"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(1,553)</w:t>
            </w:r>
          </w:p>
        </w:tc>
        <w:tc>
          <w:tcPr>
            <w:tcW w:w="1320" w:type="dxa"/>
            <w:tcBorders>
              <w:top w:val="nil"/>
              <w:left w:val="nil"/>
              <w:bottom w:val="single" w:sz="4" w:space="0" w:color="auto"/>
              <w:right w:val="nil"/>
            </w:tcBorders>
            <w:shd w:val="clear" w:color="000000" w:fill="FFFFFF"/>
            <w:vAlign w:val="center"/>
            <w:hideMark/>
          </w:tcPr>
          <w:p w14:paraId="7D6C2E51"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(554)</w:t>
            </w:r>
          </w:p>
        </w:tc>
        <w:tc>
          <w:tcPr>
            <w:tcW w:w="1615" w:type="dxa"/>
            <w:tcBorders>
              <w:top w:val="nil"/>
              <w:left w:val="nil"/>
              <w:bottom w:val="single" w:sz="4" w:space="0" w:color="auto"/>
              <w:right w:val="nil"/>
            </w:tcBorders>
            <w:shd w:val="clear" w:color="000000" w:fill="FFFFFF"/>
            <w:vAlign w:val="center"/>
            <w:hideMark/>
          </w:tcPr>
          <w:p w14:paraId="3A39C912" w14:textId="77777777" w:rsidR="00DA54F3" w:rsidRPr="001B02FE" w:rsidRDefault="00DA54F3" w:rsidP="00A535DB">
            <w:pPr>
              <w:spacing w:after="0" w:line="240" w:lineRule="auto"/>
              <w:jc w:val="center"/>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33</w:t>
            </w:r>
          </w:p>
        </w:tc>
      </w:tr>
      <w:tr w:rsidR="00DA54F3" w:rsidRPr="001B02FE" w14:paraId="11F27335" w14:textId="77777777" w:rsidTr="001B02FE">
        <w:trPr>
          <w:cantSplit/>
          <w:trHeight w:val="290"/>
        </w:trPr>
        <w:tc>
          <w:tcPr>
            <w:tcW w:w="4139" w:type="dxa"/>
            <w:tcBorders>
              <w:top w:val="nil"/>
              <w:left w:val="nil"/>
              <w:bottom w:val="nil"/>
              <w:right w:val="nil"/>
            </w:tcBorders>
            <w:shd w:val="clear" w:color="000000" w:fill="FFFFFF"/>
            <w:vAlign w:val="center"/>
            <w:hideMark/>
          </w:tcPr>
          <w:p w14:paraId="14479F31"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Set-off of tax</w:t>
            </w:r>
          </w:p>
        </w:tc>
        <w:tc>
          <w:tcPr>
            <w:tcW w:w="964" w:type="dxa"/>
            <w:tcBorders>
              <w:top w:val="nil"/>
              <w:left w:val="nil"/>
              <w:bottom w:val="nil"/>
              <w:right w:val="nil"/>
            </w:tcBorders>
            <w:shd w:val="clear" w:color="000000" w:fill="FFFFFF"/>
            <w:vAlign w:val="center"/>
            <w:hideMark/>
          </w:tcPr>
          <w:p w14:paraId="1AB2DAB8"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(382)</w:t>
            </w:r>
          </w:p>
        </w:tc>
        <w:tc>
          <w:tcPr>
            <w:tcW w:w="963" w:type="dxa"/>
            <w:tcBorders>
              <w:top w:val="nil"/>
              <w:left w:val="nil"/>
              <w:bottom w:val="nil"/>
              <w:right w:val="nil"/>
            </w:tcBorders>
            <w:shd w:val="clear" w:color="000000" w:fill="FFFFFF"/>
            <w:vAlign w:val="center"/>
            <w:hideMark/>
          </w:tcPr>
          <w:p w14:paraId="5A7D75F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382</w:t>
            </w:r>
          </w:p>
        </w:tc>
        <w:tc>
          <w:tcPr>
            <w:tcW w:w="964" w:type="dxa"/>
            <w:tcBorders>
              <w:top w:val="nil"/>
              <w:left w:val="nil"/>
              <w:bottom w:val="nil"/>
              <w:right w:val="nil"/>
            </w:tcBorders>
            <w:shd w:val="clear" w:color="000000" w:fill="FFFFFF"/>
            <w:vAlign w:val="center"/>
            <w:hideMark/>
          </w:tcPr>
          <w:p w14:paraId="1A249779"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320" w:type="dxa"/>
            <w:tcBorders>
              <w:top w:val="nil"/>
              <w:left w:val="nil"/>
              <w:bottom w:val="nil"/>
              <w:right w:val="nil"/>
            </w:tcBorders>
            <w:shd w:val="clear" w:color="000000" w:fill="FFFFFF"/>
            <w:vAlign w:val="center"/>
            <w:hideMark/>
          </w:tcPr>
          <w:p w14:paraId="08D3BCA6"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c>
          <w:tcPr>
            <w:tcW w:w="1615" w:type="dxa"/>
            <w:tcBorders>
              <w:top w:val="nil"/>
              <w:left w:val="nil"/>
              <w:bottom w:val="nil"/>
              <w:right w:val="nil"/>
            </w:tcBorders>
            <w:shd w:val="clear" w:color="000000" w:fill="FFFFFF"/>
            <w:vAlign w:val="center"/>
            <w:hideMark/>
          </w:tcPr>
          <w:p w14:paraId="3DF8EEE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w:t>
            </w:r>
          </w:p>
        </w:tc>
      </w:tr>
      <w:tr w:rsidR="00DA54F3" w:rsidRPr="001B02FE" w14:paraId="2235945E" w14:textId="77777777" w:rsidTr="001B02FE">
        <w:trPr>
          <w:cantSplit/>
          <w:trHeight w:val="290"/>
        </w:trPr>
        <w:tc>
          <w:tcPr>
            <w:tcW w:w="4139" w:type="dxa"/>
            <w:tcBorders>
              <w:top w:val="nil"/>
              <w:left w:val="nil"/>
              <w:bottom w:val="nil"/>
              <w:right w:val="nil"/>
            </w:tcBorders>
            <w:shd w:val="clear" w:color="000000" w:fill="FFFFFF"/>
            <w:vAlign w:val="center"/>
            <w:hideMark/>
          </w:tcPr>
          <w:p w14:paraId="1D3A76D2" w14:textId="77777777" w:rsidR="00DA54F3" w:rsidRPr="001B02FE" w:rsidRDefault="00DA54F3" w:rsidP="00A535DB">
            <w:pPr>
              <w:spacing w:after="0" w:line="240" w:lineRule="auto"/>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64" w:type="dxa"/>
            <w:tcBorders>
              <w:top w:val="nil"/>
              <w:left w:val="nil"/>
              <w:bottom w:val="nil"/>
              <w:right w:val="nil"/>
            </w:tcBorders>
            <w:shd w:val="clear" w:color="000000" w:fill="FFFFFF"/>
            <w:vAlign w:val="center"/>
            <w:hideMark/>
          </w:tcPr>
          <w:p w14:paraId="66ED2377"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63" w:type="dxa"/>
            <w:tcBorders>
              <w:top w:val="nil"/>
              <w:left w:val="nil"/>
              <w:bottom w:val="nil"/>
              <w:right w:val="nil"/>
            </w:tcBorders>
            <w:shd w:val="clear" w:color="000000" w:fill="FFFFFF"/>
            <w:vAlign w:val="center"/>
            <w:hideMark/>
          </w:tcPr>
          <w:p w14:paraId="3276698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964" w:type="dxa"/>
            <w:tcBorders>
              <w:top w:val="nil"/>
              <w:left w:val="nil"/>
              <w:bottom w:val="nil"/>
              <w:right w:val="nil"/>
            </w:tcBorders>
            <w:shd w:val="clear" w:color="000000" w:fill="FFFFFF"/>
            <w:vAlign w:val="center"/>
            <w:hideMark/>
          </w:tcPr>
          <w:p w14:paraId="03BACC44"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320" w:type="dxa"/>
            <w:tcBorders>
              <w:top w:val="nil"/>
              <w:left w:val="nil"/>
              <w:bottom w:val="nil"/>
              <w:right w:val="nil"/>
            </w:tcBorders>
            <w:shd w:val="clear" w:color="000000" w:fill="FFFFFF"/>
            <w:vAlign w:val="center"/>
            <w:hideMark/>
          </w:tcPr>
          <w:p w14:paraId="303B01FA"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c>
          <w:tcPr>
            <w:tcW w:w="1615" w:type="dxa"/>
            <w:tcBorders>
              <w:top w:val="nil"/>
              <w:left w:val="nil"/>
              <w:bottom w:val="nil"/>
              <w:right w:val="nil"/>
            </w:tcBorders>
            <w:shd w:val="clear" w:color="000000" w:fill="FFFFFF"/>
            <w:vAlign w:val="center"/>
            <w:hideMark/>
          </w:tcPr>
          <w:p w14:paraId="62C7B347"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 </w:t>
            </w:r>
          </w:p>
        </w:tc>
      </w:tr>
      <w:tr w:rsidR="00DA54F3" w:rsidRPr="001B02FE" w14:paraId="654B91D8" w14:textId="77777777" w:rsidTr="001B02FE">
        <w:trPr>
          <w:trHeight w:val="300"/>
        </w:trPr>
        <w:tc>
          <w:tcPr>
            <w:tcW w:w="4139" w:type="dxa"/>
            <w:tcBorders>
              <w:top w:val="single" w:sz="4" w:space="0" w:color="auto"/>
              <w:left w:val="nil"/>
              <w:bottom w:val="double" w:sz="6" w:space="0" w:color="auto"/>
              <w:right w:val="nil"/>
            </w:tcBorders>
            <w:shd w:val="clear" w:color="000000" w:fill="FFFFFF"/>
            <w:vAlign w:val="center"/>
            <w:hideMark/>
          </w:tcPr>
          <w:p w14:paraId="7C89B15D" w14:textId="77777777" w:rsidR="00DA54F3" w:rsidRPr="001B02FE" w:rsidRDefault="00DA54F3" w:rsidP="00A535DB">
            <w:pPr>
              <w:spacing w:after="0" w:line="240" w:lineRule="auto"/>
              <w:jc w:val="both"/>
              <w:rPr>
                <w:rFonts w:eastAsia="Times New Roman" w:cstheme="minorHAnsi"/>
                <w:b/>
                <w:bCs/>
                <w:color w:val="000000"/>
                <w:sz w:val="20"/>
                <w:szCs w:val="20"/>
                <w:lang w:eastAsia="en-GB"/>
              </w:rPr>
            </w:pPr>
            <w:r w:rsidRPr="001B02FE">
              <w:rPr>
                <w:rFonts w:eastAsia="Times New Roman" w:cstheme="minorHAnsi"/>
                <w:b/>
                <w:bCs/>
                <w:color w:val="000000"/>
                <w:sz w:val="20"/>
                <w:szCs w:val="20"/>
                <w:lang w:eastAsia="en-GB"/>
              </w:rPr>
              <w:t>Net tax assets/ (liabilities)</w:t>
            </w:r>
          </w:p>
        </w:tc>
        <w:tc>
          <w:tcPr>
            <w:tcW w:w="964" w:type="dxa"/>
            <w:tcBorders>
              <w:top w:val="single" w:sz="4" w:space="0" w:color="auto"/>
              <w:left w:val="nil"/>
              <w:bottom w:val="double" w:sz="6" w:space="0" w:color="auto"/>
              <w:right w:val="nil"/>
            </w:tcBorders>
            <w:shd w:val="clear" w:color="000000" w:fill="FFFFFF"/>
            <w:vAlign w:val="center"/>
            <w:hideMark/>
          </w:tcPr>
          <w:p w14:paraId="4966271C"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919</w:t>
            </w:r>
          </w:p>
        </w:tc>
        <w:tc>
          <w:tcPr>
            <w:tcW w:w="963" w:type="dxa"/>
            <w:tcBorders>
              <w:top w:val="single" w:sz="4" w:space="0" w:color="auto"/>
              <w:left w:val="nil"/>
              <w:bottom w:val="double" w:sz="6" w:space="0" w:color="auto"/>
              <w:right w:val="nil"/>
            </w:tcBorders>
            <w:shd w:val="clear" w:color="000000" w:fill="FFFFFF"/>
            <w:vAlign w:val="center"/>
            <w:hideMark/>
          </w:tcPr>
          <w:p w14:paraId="6EF72D6B"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(2,472)</w:t>
            </w:r>
          </w:p>
        </w:tc>
        <w:tc>
          <w:tcPr>
            <w:tcW w:w="964" w:type="dxa"/>
            <w:tcBorders>
              <w:top w:val="single" w:sz="4" w:space="0" w:color="auto"/>
              <w:left w:val="nil"/>
              <w:bottom w:val="double" w:sz="6" w:space="0" w:color="auto"/>
              <w:right w:val="nil"/>
            </w:tcBorders>
            <w:shd w:val="clear" w:color="000000" w:fill="FFFFFF"/>
            <w:vAlign w:val="center"/>
            <w:hideMark/>
          </w:tcPr>
          <w:p w14:paraId="1B965051"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(1,553)</w:t>
            </w:r>
          </w:p>
        </w:tc>
        <w:tc>
          <w:tcPr>
            <w:tcW w:w="1320" w:type="dxa"/>
            <w:tcBorders>
              <w:top w:val="single" w:sz="4" w:space="0" w:color="auto"/>
              <w:left w:val="nil"/>
              <w:bottom w:val="double" w:sz="6" w:space="0" w:color="auto"/>
              <w:right w:val="nil"/>
            </w:tcBorders>
            <w:shd w:val="clear" w:color="000000" w:fill="FFFFFF"/>
            <w:vAlign w:val="center"/>
            <w:hideMark/>
          </w:tcPr>
          <w:p w14:paraId="7094035F"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(554)</w:t>
            </w:r>
          </w:p>
        </w:tc>
        <w:tc>
          <w:tcPr>
            <w:tcW w:w="1615" w:type="dxa"/>
            <w:tcBorders>
              <w:top w:val="single" w:sz="4" w:space="0" w:color="auto"/>
              <w:left w:val="nil"/>
              <w:bottom w:val="double" w:sz="6" w:space="0" w:color="auto"/>
              <w:right w:val="nil"/>
            </w:tcBorders>
            <w:shd w:val="clear" w:color="000000" w:fill="FFFFFF"/>
            <w:vAlign w:val="center"/>
            <w:hideMark/>
          </w:tcPr>
          <w:p w14:paraId="79524C71" w14:textId="77777777" w:rsidR="00DA54F3" w:rsidRPr="001B02FE" w:rsidRDefault="00DA54F3" w:rsidP="00A535DB">
            <w:pPr>
              <w:spacing w:after="0" w:line="240" w:lineRule="auto"/>
              <w:jc w:val="center"/>
              <w:rPr>
                <w:rFonts w:eastAsia="Times New Roman" w:cstheme="minorHAnsi"/>
                <w:color w:val="000000"/>
                <w:sz w:val="20"/>
                <w:szCs w:val="20"/>
                <w:lang w:eastAsia="en-GB"/>
              </w:rPr>
            </w:pPr>
            <w:r w:rsidRPr="001B02FE">
              <w:rPr>
                <w:rFonts w:eastAsia="Times New Roman" w:cstheme="minorHAnsi"/>
                <w:color w:val="000000"/>
                <w:sz w:val="20"/>
                <w:szCs w:val="20"/>
                <w:lang w:eastAsia="en-GB"/>
              </w:rPr>
              <w:t>33</w:t>
            </w:r>
          </w:p>
        </w:tc>
      </w:tr>
    </w:tbl>
    <w:p w14:paraId="1F2702FB" w14:textId="77777777" w:rsidR="00DA54F3" w:rsidRPr="001B02FE" w:rsidRDefault="00DA54F3" w:rsidP="00DA54F3">
      <w:pPr>
        <w:spacing w:after="0" w:line="240" w:lineRule="auto"/>
        <w:jc w:val="both"/>
        <w:rPr>
          <w:rFonts w:eastAsia="Times New Roman" w:cstheme="minorHAnsi"/>
          <w:b/>
          <w:sz w:val="20"/>
          <w:szCs w:val="20"/>
        </w:rPr>
      </w:pPr>
    </w:p>
    <w:p w14:paraId="36AA2629" w14:textId="77777777" w:rsidR="00DA54F3" w:rsidRPr="001B02FE" w:rsidRDefault="00DA54F3" w:rsidP="00DA54F3">
      <w:pPr>
        <w:spacing w:after="0" w:line="240" w:lineRule="auto"/>
        <w:jc w:val="both"/>
        <w:rPr>
          <w:rFonts w:eastAsia="Times New Roman" w:cstheme="minorHAnsi"/>
          <w:b/>
          <w:sz w:val="20"/>
          <w:szCs w:val="20"/>
        </w:rPr>
      </w:pPr>
    </w:p>
    <w:p w14:paraId="3886B79B" w14:textId="77777777" w:rsidR="00DA54F3" w:rsidRPr="001B02FE" w:rsidRDefault="00DA54F3" w:rsidP="00DA54F3">
      <w:pPr>
        <w:spacing w:after="0" w:line="240" w:lineRule="auto"/>
        <w:jc w:val="both"/>
        <w:rPr>
          <w:rFonts w:eastAsia="Times New Roman" w:cstheme="minorHAnsi"/>
          <w:b/>
          <w:sz w:val="20"/>
          <w:szCs w:val="20"/>
        </w:rPr>
      </w:pPr>
    </w:p>
    <w:tbl>
      <w:tblPr>
        <w:tblW w:w="9965" w:type="dxa"/>
        <w:tblInd w:w="-142" w:type="dxa"/>
        <w:tblLayout w:type="fixed"/>
        <w:tblLook w:val="0000" w:firstRow="0" w:lastRow="0" w:firstColumn="0" w:lastColumn="0" w:noHBand="0" w:noVBand="0"/>
      </w:tblPr>
      <w:tblGrid>
        <w:gridCol w:w="5094"/>
        <w:gridCol w:w="1189"/>
        <w:gridCol w:w="1189"/>
        <w:gridCol w:w="1189"/>
        <w:gridCol w:w="1304"/>
      </w:tblGrid>
      <w:tr w:rsidR="00DA54F3" w:rsidRPr="001B02FE" w14:paraId="50261B0C" w14:textId="77777777" w:rsidTr="00A535DB">
        <w:trPr>
          <w:cantSplit/>
        </w:trPr>
        <w:tc>
          <w:tcPr>
            <w:tcW w:w="5094" w:type="dxa"/>
            <w:vAlign w:val="bottom"/>
          </w:tcPr>
          <w:p w14:paraId="233E7E71" w14:textId="77777777" w:rsidR="00DA54F3" w:rsidRPr="001B02FE" w:rsidRDefault="00DA54F3" w:rsidP="00A535DB">
            <w:pPr>
              <w:spacing w:after="0" w:line="240" w:lineRule="auto"/>
              <w:jc w:val="both"/>
              <w:rPr>
                <w:rFonts w:eastAsia="Times New Roman" w:cstheme="minorHAnsi"/>
                <w:b/>
                <w:sz w:val="20"/>
                <w:szCs w:val="20"/>
              </w:rPr>
            </w:pPr>
            <w:r w:rsidRPr="001B02FE">
              <w:rPr>
                <w:rFonts w:eastAsia="Times New Roman" w:cstheme="minorHAnsi"/>
                <w:b/>
                <w:sz w:val="20"/>
                <w:szCs w:val="20"/>
              </w:rPr>
              <w:t>Year ended 31 December 2018:</w:t>
            </w:r>
          </w:p>
        </w:tc>
        <w:tc>
          <w:tcPr>
            <w:tcW w:w="1189" w:type="dxa"/>
            <w:vAlign w:val="bottom"/>
          </w:tcPr>
          <w:p w14:paraId="2F857351" w14:textId="77777777" w:rsidR="00DA54F3" w:rsidRPr="001B02FE" w:rsidRDefault="00DA54F3" w:rsidP="00A535DB">
            <w:pPr>
              <w:keepNext/>
              <w:tabs>
                <w:tab w:val="decimal" w:pos="881"/>
              </w:tabs>
              <w:spacing w:after="0" w:line="240" w:lineRule="auto"/>
              <w:jc w:val="right"/>
              <w:outlineLvl w:val="0"/>
              <w:rPr>
                <w:rFonts w:eastAsia="Times New Roman" w:cstheme="minorHAnsi"/>
                <w:b/>
                <w:sz w:val="20"/>
                <w:szCs w:val="20"/>
              </w:rPr>
            </w:pPr>
            <w:r w:rsidRPr="001B02FE">
              <w:rPr>
                <w:rFonts w:eastAsia="Times New Roman" w:cstheme="minorHAnsi"/>
                <w:b/>
                <w:sz w:val="20"/>
                <w:szCs w:val="20"/>
              </w:rPr>
              <w:t>Asset</w:t>
            </w:r>
          </w:p>
        </w:tc>
        <w:tc>
          <w:tcPr>
            <w:tcW w:w="1189" w:type="dxa"/>
            <w:vAlign w:val="bottom"/>
          </w:tcPr>
          <w:p w14:paraId="2DA5C218" w14:textId="77777777" w:rsidR="00DA54F3" w:rsidRPr="001B02FE" w:rsidRDefault="00DA54F3" w:rsidP="00A535DB">
            <w:pPr>
              <w:keepNext/>
              <w:tabs>
                <w:tab w:val="decimal" w:pos="881"/>
              </w:tabs>
              <w:spacing w:after="0" w:line="240" w:lineRule="auto"/>
              <w:jc w:val="right"/>
              <w:outlineLvl w:val="0"/>
              <w:rPr>
                <w:rFonts w:eastAsia="Times New Roman" w:cstheme="minorHAnsi"/>
                <w:b/>
                <w:sz w:val="20"/>
                <w:szCs w:val="20"/>
              </w:rPr>
            </w:pPr>
            <w:r w:rsidRPr="001B02FE">
              <w:rPr>
                <w:rFonts w:eastAsia="Times New Roman" w:cstheme="minorHAnsi"/>
                <w:b/>
                <w:sz w:val="20"/>
                <w:szCs w:val="20"/>
              </w:rPr>
              <w:t>Liability</w:t>
            </w:r>
          </w:p>
        </w:tc>
        <w:tc>
          <w:tcPr>
            <w:tcW w:w="1189" w:type="dxa"/>
            <w:vAlign w:val="bottom"/>
          </w:tcPr>
          <w:p w14:paraId="4B13DA20" w14:textId="77777777" w:rsidR="00DA54F3" w:rsidRPr="001B02FE" w:rsidRDefault="00DA54F3" w:rsidP="00A535DB">
            <w:pPr>
              <w:keepNext/>
              <w:tabs>
                <w:tab w:val="decimal" w:pos="881"/>
              </w:tabs>
              <w:spacing w:after="0" w:line="240" w:lineRule="auto"/>
              <w:jc w:val="right"/>
              <w:outlineLvl w:val="0"/>
              <w:rPr>
                <w:rFonts w:eastAsia="Times New Roman" w:cstheme="minorHAnsi"/>
                <w:b/>
                <w:sz w:val="20"/>
                <w:szCs w:val="20"/>
              </w:rPr>
            </w:pPr>
            <w:r w:rsidRPr="001B02FE">
              <w:rPr>
                <w:rFonts w:eastAsia="Times New Roman" w:cstheme="minorHAnsi"/>
                <w:b/>
                <w:sz w:val="20"/>
                <w:szCs w:val="20"/>
              </w:rPr>
              <w:t>Net</w:t>
            </w:r>
          </w:p>
        </w:tc>
        <w:tc>
          <w:tcPr>
            <w:tcW w:w="1304" w:type="dxa"/>
            <w:vAlign w:val="bottom"/>
          </w:tcPr>
          <w:p w14:paraId="53A3DB6F" w14:textId="77777777" w:rsidR="00DA54F3" w:rsidRPr="001B02FE" w:rsidRDefault="00DA54F3" w:rsidP="00A535DB">
            <w:pPr>
              <w:keepNext/>
              <w:tabs>
                <w:tab w:val="decimal" w:pos="881"/>
              </w:tabs>
              <w:spacing w:after="0" w:line="240" w:lineRule="auto"/>
              <w:jc w:val="right"/>
              <w:outlineLvl w:val="0"/>
              <w:rPr>
                <w:rFonts w:eastAsia="Times New Roman" w:cstheme="minorHAnsi"/>
                <w:b/>
                <w:sz w:val="20"/>
                <w:szCs w:val="20"/>
              </w:rPr>
            </w:pPr>
            <w:r w:rsidRPr="001B02FE">
              <w:rPr>
                <w:rFonts w:eastAsia="Times New Roman" w:cstheme="minorHAnsi"/>
                <w:b/>
                <w:sz w:val="20"/>
                <w:szCs w:val="20"/>
              </w:rPr>
              <w:t>(Charged)/ credited to profit or loss</w:t>
            </w:r>
          </w:p>
        </w:tc>
      </w:tr>
      <w:tr w:rsidR="00DA54F3" w:rsidRPr="001B02FE" w14:paraId="1A9D6018" w14:textId="77777777" w:rsidTr="00A535DB">
        <w:trPr>
          <w:cantSplit/>
        </w:trPr>
        <w:tc>
          <w:tcPr>
            <w:tcW w:w="5094" w:type="dxa"/>
            <w:tcBorders>
              <w:bottom w:val="single" w:sz="8" w:space="0" w:color="auto"/>
            </w:tcBorders>
          </w:tcPr>
          <w:p w14:paraId="60E88083" w14:textId="77777777" w:rsidR="00DA54F3" w:rsidRPr="001B02FE" w:rsidRDefault="00DA54F3" w:rsidP="00A535DB">
            <w:pPr>
              <w:spacing w:after="0" w:line="240" w:lineRule="auto"/>
              <w:jc w:val="both"/>
              <w:rPr>
                <w:rFonts w:eastAsia="Times New Roman" w:cstheme="minorHAnsi"/>
                <w:sz w:val="20"/>
                <w:szCs w:val="20"/>
              </w:rPr>
            </w:pPr>
          </w:p>
        </w:tc>
        <w:tc>
          <w:tcPr>
            <w:tcW w:w="1189" w:type="dxa"/>
            <w:tcBorders>
              <w:bottom w:val="single" w:sz="8" w:space="0" w:color="auto"/>
            </w:tcBorders>
          </w:tcPr>
          <w:p w14:paraId="529703AC" w14:textId="77777777" w:rsidR="00DA54F3" w:rsidRPr="001B02FE" w:rsidRDefault="00DA54F3" w:rsidP="00A535DB">
            <w:pPr>
              <w:keepNext/>
              <w:tabs>
                <w:tab w:val="decimal" w:pos="1107"/>
              </w:tabs>
              <w:spacing w:after="0" w:line="240" w:lineRule="auto"/>
              <w:jc w:val="right"/>
              <w:outlineLvl w:val="0"/>
              <w:rPr>
                <w:rFonts w:eastAsia="Times New Roman" w:cstheme="minorHAnsi"/>
                <w:sz w:val="20"/>
                <w:szCs w:val="20"/>
              </w:rPr>
            </w:pPr>
            <w:r w:rsidRPr="001B02FE">
              <w:rPr>
                <w:rFonts w:eastAsia="Times New Roman" w:cstheme="minorHAnsi"/>
                <w:sz w:val="20"/>
                <w:szCs w:val="20"/>
              </w:rPr>
              <w:t>£’000</w:t>
            </w:r>
          </w:p>
        </w:tc>
        <w:tc>
          <w:tcPr>
            <w:tcW w:w="1189" w:type="dxa"/>
            <w:tcBorders>
              <w:bottom w:val="single" w:sz="8" w:space="0" w:color="auto"/>
            </w:tcBorders>
          </w:tcPr>
          <w:p w14:paraId="0674AE69" w14:textId="77777777" w:rsidR="00DA54F3" w:rsidRPr="001B02FE" w:rsidRDefault="00DA54F3" w:rsidP="00A535DB">
            <w:pPr>
              <w:keepNext/>
              <w:tabs>
                <w:tab w:val="decimal" w:pos="1107"/>
              </w:tabs>
              <w:spacing w:after="0" w:line="240" w:lineRule="auto"/>
              <w:jc w:val="right"/>
              <w:outlineLvl w:val="0"/>
              <w:rPr>
                <w:rFonts w:eastAsia="Times New Roman" w:cstheme="minorHAnsi"/>
                <w:sz w:val="20"/>
                <w:szCs w:val="20"/>
              </w:rPr>
            </w:pPr>
            <w:r w:rsidRPr="001B02FE">
              <w:rPr>
                <w:rFonts w:eastAsia="Times New Roman" w:cstheme="minorHAnsi"/>
                <w:sz w:val="20"/>
                <w:szCs w:val="20"/>
              </w:rPr>
              <w:t>£’000</w:t>
            </w:r>
          </w:p>
        </w:tc>
        <w:tc>
          <w:tcPr>
            <w:tcW w:w="1189" w:type="dxa"/>
            <w:tcBorders>
              <w:bottom w:val="single" w:sz="8" w:space="0" w:color="auto"/>
            </w:tcBorders>
          </w:tcPr>
          <w:p w14:paraId="4553AC37" w14:textId="77777777" w:rsidR="00DA54F3" w:rsidRPr="001B02FE" w:rsidRDefault="00DA54F3" w:rsidP="00A535DB">
            <w:pPr>
              <w:keepNext/>
              <w:tabs>
                <w:tab w:val="decimal" w:pos="1107"/>
              </w:tabs>
              <w:spacing w:after="0" w:line="240" w:lineRule="auto"/>
              <w:jc w:val="right"/>
              <w:outlineLvl w:val="0"/>
              <w:rPr>
                <w:rFonts w:eastAsia="Times New Roman" w:cstheme="minorHAnsi"/>
                <w:sz w:val="20"/>
                <w:szCs w:val="20"/>
              </w:rPr>
            </w:pPr>
            <w:r w:rsidRPr="001B02FE">
              <w:rPr>
                <w:rFonts w:eastAsia="Times New Roman" w:cstheme="minorHAnsi"/>
                <w:sz w:val="20"/>
                <w:szCs w:val="20"/>
              </w:rPr>
              <w:t>£’000</w:t>
            </w:r>
          </w:p>
        </w:tc>
        <w:tc>
          <w:tcPr>
            <w:tcW w:w="1304" w:type="dxa"/>
            <w:tcBorders>
              <w:bottom w:val="single" w:sz="8" w:space="0" w:color="auto"/>
            </w:tcBorders>
          </w:tcPr>
          <w:p w14:paraId="36028B0E" w14:textId="77777777" w:rsidR="00DA54F3" w:rsidRPr="001B02FE" w:rsidRDefault="00DA54F3" w:rsidP="00A535DB">
            <w:pPr>
              <w:keepNext/>
              <w:tabs>
                <w:tab w:val="decimal" w:pos="1107"/>
              </w:tabs>
              <w:spacing w:after="0" w:line="240" w:lineRule="auto"/>
              <w:jc w:val="right"/>
              <w:outlineLvl w:val="0"/>
              <w:rPr>
                <w:rFonts w:eastAsia="Times New Roman" w:cstheme="minorHAnsi"/>
                <w:sz w:val="20"/>
                <w:szCs w:val="20"/>
              </w:rPr>
            </w:pPr>
            <w:r w:rsidRPr="001B02FE">
              <w:rPr>
                <w:rFonts w:eastAsia="Times New Roman" w:cstheme="minorHAnsi"/>
                <w:sz w:val="20"/>
                <w:szCs w:val="20"/>
              </w:rPr>
              <w:t>£’000</w:t>
            </w:r>
          </w:p>
        </w:tc>
      </w:tr>
      <w:tr w:rsidR="00DA54F3" w:rsidRPr="001B02FE" w14:paraId="509A13A1" w14:textId="77777777" w:rsidTr="00A535DB">
        <w:trPr>
          <w:cantSplit/>
        </w:trPr>
        <w:tc>
          <w:tcPr>
            <w:tcW w:w="5094" w:type="dxa"/>
            <w:tcBorders>
              <w:top w:val="single" w:sz="8" w:space="0" w:color="auto"/>
            </w:tcBorders>
          </w:tcPr>
          <w:p w14:paraId="227C418D" w14:textId="77777777" w:rsidR="00DA54F3" w:rsidRPr="001B02FE" w:rsidRDefault="00DA54F3" w:rsidP="00A535DB">
            <w:pPr>
              <w:spacing w:after="0" w:line="240" w:lineRule="auto"/>
              <w:jc w:val="both"/>
              <w:rPr>
                <w:rFonts w:eastAsia="Times New Roman" w:cstheme="minorHAnsi"/>
                <w:sz w:val="20"/>
                <w:szCs w:val="20"/>
              </w:rPr>
            </w:pPr>
          </w:p>
        </w:tc>
        <w:tc>
          <w:tcPr>
            <w:tcW w:w="1189" w:type="dxa"/>
            <w:tcBorders>
              <w:top w:val="single" w:sz="8" w:space="0" w:color="auto"/>
            </w:tcBorders>
          </w:tcPr>
          <w:p w14:paraId="13EB86FB" w14:textId="77777777" w:rsidR="00DA54F3" w:rsidRPr="001B02FE" w:rsidRDefault="00DA54F3" w:rsidP="00A535DB">
            <w:pPr>
              <w:keepNext/>
              <w:tabs>
                <w:tab w:val="decimal" w:pos="1107"/>
              </w:tabs>
              <w:spacing w:after="0" w:line="240" w:lineRule="auto"/>
              <w:jc w:val="right"/>
              <w:outlineLvl w:val="0"/>
              <w:rPr>
                <w:rFonts w:eastAsia="Times New Roman" w:cstheme="minorHAnsi"/>
                <w:sz w:val="20"/>
                <w:szCs w:val="20"/>
              </w:rPr>
            </w:pPr>
          </w:p>
        </w:tc>
        <w:tc>
          <w:tcPr>
            <w:tcW w:w="1189" w:type="dxa"/>
            <w:tcBorders>
              <w:top w:val="single" w:sz="8" w:space="0" w:color="auto"/>
            </w:tcBorders>
          </w:tcPr>
          <w:p w14:paraId="4DA60CF8" w14:textId="77777777" w:rsidR="00DA54F3" w:rsidRPr="001B02FE" w:rsidRDefault="00DA54F3" w:rsidP="00A535DB">
            <w:pPr>
              <w:keepNext/>
              <w:tabs>
                <w:tab w:val="decimal" w:pos="1107"/>
              </w:tabs>
              <w:spacing w:after="0" w:line="240" w:lineRule="auto"/>
              <w:jc w:val="right"/>
              <w:outlineLvl w:val="0"/>
              <w:rPr>
                <w:rFonts w:eastAsia="Times New Roman" w:cstheme="minorHAnsi"/>
                <w:sz w:val="20"/>
                <w:szCs w:val="20"/>
              </w:rPr>
            </w:pPr>
          </w:p>
        </w:tc>
        <w:tc>
          <w:tcPr>
            <w:tcW w:w="1189" w:type="dxa"/>
            <w:tcBorders>
              <w:top w:val="single" w:sz="8" w:space="0" w:color="auto"/>
            </w:tcBorders>
          </w:tcPr>
          <w:p w14:paraId="764C725D" w14:textId="77777777" w:rsidR="00DA54F3" w:rsidRPr="001B02FE" w:rsidRDefault="00DA54F3" w:rsidP="00A535DB">
            <w:pPr>
              <w:keepNext/>
              <w:tabs>
                <w:tab w:val="decimal" w:pos="1107"/>
              </w:tabs>
              <w:spacing w:after="0" w:line="240" w:lineRule="auto"/>
              <w:jc w:val="right"/>
              <w:outlineLvl w:val="0"/>
              <w:rPr>
                <w:rFonts w:eastAsia="Times New Roman" w:cstheme="minorHAnsi"/>
                <w:sz w:val="20"/>
                <w:szCs w:val="20"/>
              </w:rPr>
            </w:pPr>
          </w:p>
        </w:tc>
        <w:tc>
          <w:tcPr>
            <w:tcW w:w="1304" w:type="dxa"/>
            <w:tcBorders>
              <w:top w:val="single" w:sz="8" w:space="0" w:color="auto"/>
            </w:tcBorders>
          </w:tcPr>
          <w:p w14:paraId="6DCC45AE" w14:textId="77777777" w:rsidR="00DA54F3" w:rsidRPr="001B02FE" w:rsidRDefault="00DA54F3" w:rsidP="00A535DB">
            <w:pPr>
              <w:keepNext/>
              <w:tabs>
                <w:tab w:val="decimal" w:pos="1107"/>
              </w:tabs>
              <w:spacing w:after="0" w:line="240" w:lineRule="auto"/>
              <w:jc w:val="right"/>
              <w:outlineLvl w:val="0"/>
              <w:rPr>
                <w:rFonts w:eastAsia="Times New Roman" w:cstheme="minorHAnsi"/>
                <w:sz w:val="20"/>
                <w:szCs w:val="20"/>
              </w:rPr>
            </w:pPr>
          </w:p>
        </w:tc>
      </w:tr>
      <w:tr w:rsidR="00DA54F3" w:rsidRPr="001B02FE" w14:paraId="41C6D6E8" w14:textId="77777777" w:rsidTr="00A535DB">
        <w:trPr>
          <w:cantSplit/>
        </w:trPr>
        <w:tc>
          <w:tcPr>
            <w:tcW w:w="5094" w:type="dxa"/>
            <w:vAlign w:val="center"/>
          </w:tcPr>
          <w:p w14:paraId="41EFE539"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Accelerated capital allowances</w:t>
            </w:r>
          </w:p>
        </w:tc>
        <w:tc>
          <w:tcPr>
            <w:tcW w:w="1189" w:type="dxa"/>
            <w:vAlign w:val="center"/>
          </w:tcPr>
          <w:p w14:paraId="2B399E77"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w:t>
            </w:r>
          </w:p>
        </w:tc>
        <w:tc>
          <w:tcPr>
            <w:tcW w:w="1189" w:type="dxa"/>
            <w:vAlign w:val="center"/>
          </w:tcPr>
          <w:p w14:paraId="5C80FE24"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(319)</w:t>
            </w:r>
          </w:p>
        </w:tc>
        <w:tc>
          <w:tcPr>
            <w:tcW w:w="1189" w:type="dxa"/>
            <w:vAlign w:val="center"/>
          </w:tcPr>
          <w:p w14:paraId="5BA28CC9"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(319)</w:t>
            </w:r>
          </w:p>
        </w:tc>
        <w:tc>
          <w:tcPr>
            <w:tcW w:w="1304" w:type="dxa"/>
            <w:vAlign w:val="center"/>
          </w:tcPr>
          <w:p w14:paraId="05FFCF78"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(206)</w:t>
            </w:r>
          </w:p>
        </w:tc>
      </w:tr>
      <w:tr w:rsidR="00DA54F3" w:rsidRPr="001B02FE" w14:paraId="5833E510" w14:textId="77777777" w:rsidTr="00A535DB">
        <w:trPr>
          <w:cantSplit/>
        </w:trPr>
        <w:tc>
          <w:tcPr>
            <w:tcW w:w="5094" w:type="dxa"/>
            <w:vAlign w:val="center"/>
          </w:tcPr>
          <w:p w14:paraId="042F517C"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Available losses</w:t>
            </w:r>
          </w:p>
        </w:tc>
        <w:tc>
          <w:tcPr>
            <w:tcW w:w="1189" w:type="dxa"/>
            <w:vAlign w:val="center"/>
          </w:tcPr>
          <w:p w14:paraId="2655B54D"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1,325</w:t>
            </w:r>
          </w:p>
        </w:tc>
        <w:tc>
          <w:tcPr>
            <w:tcW w:w="1189" w:type="dxa"/>
            <w:vAlign w:val="center"/>
          </w:tcPr>
          <w:p w14:paraId="411907BD"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w:t>
            </w:r>
          </w:p>
        </w:tc>
        <w:tc>
          <w:tcPr>
            <w:tcW w:w="1189" w:type="dxa"/>
            <w:vAlign w:val="center"/>
          </w:tcPr>
          <w:p w14:paraId="784AC369"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1,325</w:t>
            </w:r>
          </w:p>
        </w:tc>
        <w:tc>
          <w:tcPr>
            <w:tcW w:w="1304" w:type="dxa"/>
            <w:vAlign w:val="center"/>
          </w:tcPr>
          <w:p w14:paraId="6737869B"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558</w:t>
            </w:r>
          </w:p>
        </w:tc>
      </w:tr>
      <w:tr w:rsidR="00DA54F3" w:rsidRPr="001B02FE" w14:paraId="0823A5F0" w14:textId="77777777" w:rsidTr="00A535DB">
        <w:trPr>
          <w:cantSplit/>
        </w:trPr>
        <w:tc>
          <w:tcPr>
            <w:tcW w:w="5094" w:type="dxa"/>
            <w:vAlign w:val="center"/>
          </w:tcPr>
          <w:p w14:paraId="59E78136" w14:textId="77777777" w:rsidR="00DA54F3" w:rsidRPr="001B02FE" w:rsidRDefault="00DA54F3" w:rsidP="00A535DB">
            <w:pPr>
              <w:spacing w:after="0" w:line="240" w:lineRule="auto"/>
              <w:jc w:val="both"/>
              <w:rPr>
                <w:rFonts w:eastAsia="Times New Roman" w:cstheme="minorHAnsi"/>
                <w:sz w:val="20"/>
                <w:szCs w:val="20"/>
              </w:rPr>
            </w:pPr>
            <w:r w:rsidRPr="001B02FE">
              <w:rPr>
                <w:rFonts w:eastAsia="Times New Roman" w:cstheme="minorHAnsi"/>
                <w:sz w:val="20"/>
                <w:szCs w:val="20"/>
              </w:rPr>
              <w:t>Other temporary and deductible differences</w:t>
            </w:r>
          </w:p>
        </w:tc>
        <w:tc>
          <w:tcPr>
            <w:tcW w:w="1189" w:type="dxa"/>
            <w:vAlign w:val="center"/>
          </w:tcPr>
          <w:p w14:paraId="2154CBC3"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424</w:t>
            </w:r>
          </w:p>
        </w:tc>
        <w:tc>
          <w:tcPr>
            <w:tcW w:w="1189" w:type="dxa"/>
            <w:vAlign w:val="center"/>
          </w:tcPr>
          <w:p w14:paraId="4D19B4D5"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w:t>
            </w:r>
          </w:p>
        </w:tc>
        <w:tc>
          <w:tcPr>
            <w:tcW w:w="1189" w:type="dxa"/>
            <w:vAlign w:val="center"/>
          </w:tcPr>
          <w:p w14:paraId="6E3B23AC"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424</w:t>
            </w:r>
          </w:p>
        </w:tc>
        <w:tc>
          <w:tcPr>
            <w:tcW w:w="1304" w:type="dxa"/>
            <w:vAlign w:val="center"/>
          </w:tcPr>
          <w:p w14:paraId="6DD46495"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(254)</w:t>
            </w:r>
          </w:p>
        </w:tc>
      </w:tr>
      <w:tr w:rsidR="00DA54F3" w:rsidRPr="001B02FE" w14:paraId="060AC697" w14:textId="77777777" w:rsidTr="00A535DB">
        <w:trPr>
          <w:cantSplit/>
        </w:trPr>
        <w:tc>
          <w:tcPr>
            <w:tcW w:w="5094" w:type="dxa"/>
            <w:vAlign w:val="center"/>
          </w:tcPr>
          <w:p w14:paraId="5AA19AC3" w14:textId="77777777" w:rsidR="00DA54F3" w:rsidRPr="001B02FE" w:rsidRDefault="00DA54F3" w:rsidP="00A535DB">
            <w:pPr>
              <w:spacing w:after="0" w:line="240" w:lineRule="auto"/>
              <w:rPr>
                <w:rFonts w:eastAsia="Times New Roman" w:cstheme="minorHAnsi"/>
                <w:sz w:val="20"/>
                <w:szCs w:val="20"/>
              </w:rPr>
            </w:pPr>
            <w:r w:rsidRPr="001B02FE">
              <w:rPr>
                <w:rFonts w:eastAsia="Times New Roman" w:cstheme="minorHAnsi"/>
                <w:sz w:val="20"/>
                <w:szCs w:val="20"/>
              </w:rPr>
              <w:t>Business combinations</w:t>
            </w:r>
          </w:p>
        </w:tc>
        <w:tc>
          <w:tcPr>
            <w:tcW w:w="1189" w:type="dxa"/>
            <w:vAlign w:val="center"/>
          </w:tcPr>
          <w:p w14:paraId="04BB1BFC"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w:t>
            </w:r>
          </w:p>
        </w:tc>
        <w:tc>
          <w:tcPr>
            <w:tcW w:w="1189" w:type="dxa"/>
            <w:vAlign w:val="center"/>
          </w:tcPr>
          <w:p w14:paraId="192D50AA"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(2,461)</w:t>
            </w:r>
          </w:p>
        </w:tc>
        <w:tc>
          <w:tcPr>
            <w:tcW w:w="1189" w:type="dxa"/>
            <w:vAlign w:val="center"/>
          </w:tcPr>
          <w:p w14:paraId="7A7C537C"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(2,461)</w:t>
            </w:r>
          </w:p>
        </w:tc>
        <w:tc>
          <w:tcPr>
            <w:tcW w:w="1304" w:type="dxa"/>
            <w:vAlign w:val="center"/>
          </w:tcPr>
          <w:p w14:paraId="0E9BB210"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21</w:t>
            </w:r>
          </w:p>
        </w:tc>
      </w:tr>
      <w:tr w:rsidR="00DA54F3" w:rsidRPr="001B02FE" w14:paraId="168F4145" w14:textId="77777777" w:rsidTr="00A535DB">
        <w:trPr>
          <w:cantSplit/>
        </w:trPr>
        <w:tc>
          <w:tcPr>
            <w:tcW w:w="5094" w:type="dxa"/>
            <w:vAlign w:val="center"/>
          </w:tcPr>
          <w:p w14:paraId="667139DD" w14:textId="77777777" w:rsidR="00DA54F3" w:rsidRPr="001B02FE" w:rsidRDefault="00DA54F3" w:rsidP="00A535DB">
            <w:pPr>
              <w:spacing w:after="0" w:line="240" w:lineRule="auto"/>
              <w:rPr>
                <w:rFonts w:eastAsia="Times New Roman" w:cstheme="minorHAnsi"/>
                <w:sz w:val="20"/>
                <w:szCs w:val="20"/>
              </w:rPr>
            </w:pPr>
          </w:p>
        </w:tc>
        <w:tc>
          <w:tcPr>
            <w:tcW w:w="1189" w:type="dxa"/>
            <w:tcBorders>
              <w:bottom w:val="single" w:sz="8" w:space="0" w:color="auto"/>
            </w:tcBorders>
            <w:vAlign w:val="center"/>
          </w:tcPr>
          <w:p w14:paraId="20C5B72B"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p>
        </w:tc>
        <w:tc>
          <w:tcPr>
            <w:tcW w:w="1189" w:type="dxa"/>
            <w:tcBorders>
              <w:bottom w:val="single" w:sz="8" w:space="0" w:color="auto"/>
            </w:tcBorders>
            <w:vAlign w:val="center"/>
          </w:tcPr>
          <w:p w14:paraId="5C10A4F7"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p>
        </w:tc>
        <w:tc>
          <w:tcPr>
            <w:tcW w:w="1189" w:type="dxa"/>
            <w:tcBorders>
              <w:bottom w:val="single" w:sz="8" w:space="0" w:color="auto"/>
            </w:tcBorders>
            <w:vAlign w:val="center"/>
          </w:tcPr>
          <w:p w14:paraId="0595885A"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p>
        </w:tc>
        <w:tc>
          <w:tcPr>
            <w:tcW w:w="1304" w:type="dxa"/>
            <w:tcBorders>
              <w:bottom w:val="single" w:sz="8" w:space="0" w:color="auto"/>
            </w:tcBorders>
            <w:vAlign w:val="center"/>
          </w:tcPr>
          <w:p w14:paraId="549C9865"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p>
        </w:tc>
      </w:tr>
      <w:tr w:rsidR="00DA54F3" w:rsidRPr="001B02FE" w14:paraId="20ED43C9" w14:textId="77777777" w:rsidTr="00A535DB">
        <w:trPr>
          <w:cantSplit/>
          <w:trHeight w:val="454"/>
        </w:trPr>
        <w:tc>
          <w:tcPr>
            <w:tcW w:w="5094" w:type="dxa"/>
            <w:vAlign w:val="center"/>
          </w:tcPr>
          <w:p w14:paraId="10C7C119" w14:textId="77777777" w:rsidR="00DA54F3" w:rsidRPr="001B02FE" w:rsidRDefault="00DA54F3" w:rsidP="00A535DB">
            <w:pPr>
              <w:spacing w:after="0" w:line="240" w:lineRule="auto"/>
              <w:rPr>
                <w:rFonts w:eastAsia="Times New Roman" w:cstheme="minorHAnsi"/>
                <w:sz w:val="20"/>
                <w:szCs w:val="20"/>
              </w:rPr>
            </w:pPr>
            <w:r w:rsidRPr="001B02FE">
              <w:rPr>
                <w:rFonts w:eastAsia="Times New Roman" w:cstheme="minorHAnsi"/>
                <w:sz w:val="20"/>
                <w:szCs w:val="20"/>
              </w:rPr>
              <w:t>Tax asset/ (liabilities)</w:t>
            </w:r>
          </w:p>
        </w:tc>
        <w:tc>
          <w:tcPr>
            <w:tcW w:w="1189" w:type="dxa"/>
            <w:tcBorders>
              <w:top w:val="single" w:sz="8" w:space="0" w:color="auto"/>
            </w:tcBorders>
            <w:vAlign w:val="center"/>
          </w:tcPr>
          <w:p w14:paraId="5A478511"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1,749</w:t>
            </w:r>
          </w:p>
        </w:tc>
        <w:tc>
          <w:tcPr>
            <w:tcW w:w="1189" w:type="dxa"/>
            <w:tcBorders>
              <w:top w:val="single" w:sz="8" w:space="0" w:color="auto"/>
            </w:tcBorders>
            <w:vAlign w:val="center"/>
          </w:tcPr>
          <w:p w14:paraId="04C8C4BB"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(2,780)</w:t>
            </w:r>
          </w:p>
        </w:tc>
        <w:tc>
          <w:tcPr>
            <w:tcW w:w="1189" w:type="dxa"/>
            <w:tcBorders>
              <w:top w:val="single" w:sz="8" w:space="0" w:color="auto"/>
            </w:tcBorders>
            <w:vAlign w:val="center"/>
          </w:tcPr>
          <w:p w14:paraId="252FEE76"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(1,031)</w:t>
            </w:r>
          </w:p>
        </w:tc>
        <w:tc>
          <w:tcPr>
            <w:tcW w:w="1304" w:type="dxa"/>
            <w:tcBorders>
              <w:top w:val="single" w:sz="8" w:space="0" w:color="auto"/>
            </w:tcBorders>
            <w:vAlign w:val="center"/>
          </w:tcPr>
          <w:p w14:paraId="3ADBE502"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119</w:t>
            </w:r>
          </w:p>
        </w:tc>
      </w:tr>
      <w:tr w:rsidR="00DA54F3" w:rsidRPr="001B02FE" w14:paraId="57181C93" w14:textId="77777777" w:rsidTr="00A535DB">
        <w:trPr>
          <w:cantSplit/>
        </w:trPr>
        <w:tc>
          <w:tcPr>
            <w:tcW w:w="5094" w:type="dxa"/>
            <w:vAlign w:val="center"/>
          </w:tcPr>
          <w:p w14:paraId="494E497D" w14:textId="77777777" w:rsidR="00DA54F3" w:rsidRPr="001B02FE" w:rsidRDefault="00DA54F3" w:rsidP="00A535DB">
            <w:pPr>
              <w:spacing w:after="0" w:line="240" w:lineRule="auto"/>
              <w:rPr>
                <w:rFonts w:eastAsia="Times New Roman" w:cstheme="minorHAnsi"/>
                <w:sz w:val="20"/>
                <w:szCs w:val="20"/>
              </w:rPr>
            </w:pPr>
            <w:r w:rsidRPr="001B02FE">
              <w:rPr>
                <w:rFonts w:eastAsia="Times New Roman" w:cstheme="minorHAnsi"/>
                <w:sz w:val="20"/>
                <w:szCs w:val="20"/>
              </w:rPr>
              <w:t>Set-off of tax</w:t>
            </w:r>
          </w:p>
        </w:tc>
        <w:tc>
          <w:tcPr>
            <w:tcW w:w="1189" w:type="dxa"/>
            <w:vAlign w:val="center"/>
          </w:tcPr>
          <w:p w14:paraId="5B662796"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(319)</w:t>
            </w:r>
          </w:p>
        </w:tc>
        <w:tc>
          <w:tcPr>
            <w:tcW w:w="1189" w:type="dxa"/>
            <w:vAlign w:val="center"/>
          </w:tcPr>
          <w:p w14:paraId="790983E6"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319</w:t>
            </w:r>
          </w:p>
        </w:tc>
        <w:tc>
          <w:tcPr>
            <w:tcW w:w="1189" w:type="dxa"/>
            <w:vAlign w:val="center"/>
          </w:tcPr>
          <w:p w14:paraId="7D1609A9"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w:t>
            </w:r>
          </w:p>
        </w:tc>
        <w:tc>
          <w:tcPr>
            <w:tcW w:w="1304" w:type="dxa"/>
            <w:vAlign w:val="center"/>
          </w:tcPr>
          <w:p w14:paraId="517D8304"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r w:rsidRPr="001B02FE">
              <w:rPr>
                <w:rFonts w:eastAsia="Times New Roman" w:cstheme="minorHAnsi"/>
                <w:sz w:val="20"/>
                <w:szCs w:val="20"/>
              </w:rPr>
              <w:t>–</w:t>
            </w:r>
          </w:p>
        </w:tc>
      </w:tr>
      <w:tr w:rsidR="00DA54F3" w:rsidRPr="001B02FE" w14:paraId="2249FF21" w14:textId="77777777" w:rsidTr="00A535DB">
        <w:trPr>
          <w:cantSplit/>
        </w:trPr>
        <w:tc>
          <w:tcPr>
            <w:tcW w:w="5094" w:type="dxa"/>
            <w:tcBorders>
              <w:bottom w:val="single" w:sz="8" w:space="0" w:color="auto"/>
            </w:tcBorders>
            <w:vAlign w:val="center"/>
          </w:tcPr>
          <w:p w14:paraId="530D115D" w14:textId="77777777" w:rsidR="00DA54F3" w:rsidRPr="001B02FE" w:rsidRDefault="00DA54F3" w:rsidP="00A535DB">
            <w:pPr>
              <w:spacing w:after="0" w:line="240" w:lineRule="auto"/>
              <w:rPr>
                <w:rFonts w:eastAsia="Times New Roman" w:cstheme="minorHAnsi"/>
                <w:sz w:val="20"/>
                <w:szCs w:val="20"/>
              </w:rPr>
            </w:pPr>
          </w:p>
        </w:tc>
        <w:tc>
          <w:tcPr>
            <w:tcW w:w="1189" w:type="dxa"/>
            <w:tcBorders>
              <w:bottom w:val="single" w:sz="8" w:space="0" w:color="auto"/>
            </w:tcBorders>
            <w:vAlign w:val="center"/>
          </w:tcPr>
          <w:p w14:paraId="375FEE15"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p>
        </w:tc>
        <w:tc>
          <w:tcPr>
            <w:tcW w:w="1189" w:type="dxa"/>
            <w:tcBorders>
              <w:bottom w:val="single" w:sz="8" w:space="0" w:color="auto"/>
            </w:tcBorders>
            <w:vAlign w:val="center"/>
          </w:tcPr>
          <w:p w14:paraId="763D7889"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p>
        </w:tc>
        <w:tc>
          <w:tcPr>
            <w:tcW w:w="1189" w:type="dxa"/>
            <w:tcBorders>
              <w:bottom w:val="single" w:sz="8" w:space="0" w:color="auto"/>
            </w:tcBorders>
            <w:vAlign w:val="center"/>
          </w:tcPr>
          <w:p w14:paraId="2F4628F7"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p>
        </w:tc>
        <w:tc>
          <w:tcPr>
            <w:tcW w:w="1304" w:type="dxa"/>
            <w:tcBorders>
              <w:bottom w:val="single" w:sz="8" w:space="0" w:color="auto"/>
            </w:tcBorders>
            <w:vAlign w:val="center"/>
          </w:tcPr>
          <w:p w14:paraId="319E55B0" w14:textId="77777777" w:rsidR="00DA54F3" w:rsidRPr="001B02FE" w:rsidRDefault="00DA54F3" w:rsidP="00A535DB">
            <w:pPr>
              <w:keepNext/>
              <w:tabs>
                <w:tab w:val="decimal" w:pos="983"/>
              </w:tabs>
              <w:spacing w:after="0" w:line="240" w:lineRule="auto"/>
              <w:outlineLvl w:val="0"/>
              <w:rPr>
                <w:rFonts w:eastAsia="Times New Roman" w:cstheme="minorHAnsi"/>
                <w:sz w:val="20"/>
                <w:szCs w:val="20"/>
              </w:rPr>
            </w:pPr>
          </w:p>
        </w:tc>
      </w:tr>
      <w:tr w:rsidR="00DA54F3" w:rsidRPr="001B02FE" w14:paraId="4F4B5CAF" w14:textId="77777777" w:rsidTr="00A535DB">
        <w:trPr>
          <w:cantSplit/>
          <w:trHeight w:hRule="exact" w:val="454"/>
        </w:trPr>
        <w:tc>
          <w:tcPr>
            <w:tcW w:w="5094" w:type="dxa"/>
            <w:tcBorders>
              <w:top w:val="single" w:sz="8" w:space="0" w:color="auto"/>
              <w:bottom w:val="single" w:sz="8" w:space="0" w:color="auto"/>
            </w:tcBorders>
            <w:vAlign w:val="center"/>
          </w:tcPr>
          <w:p w14:paraId="0BCD65B1" w14:textId="77777777" w:rsidR="00DA54F3" w:rsidRPr="001B02FE" w:rsidRDefault="00DA54F3" w:rsidP="00A535DB">
            <w:pPr>
              <w:spacing w:after="0" w:line="240" w:lineRule="auto"/>
              <w:jc w:val="both"/>
              <w:rPr>
                <w:rFonts w:eastAsia="Times New Roman" w:cstheme="minorHAnsi"/>
                <w:b/>
                <w:sz w:val="20"/>
                <w:szCs w:val="20"/>
              </w:rPr>
            </w:pPr>
            <w:r w:rsidRPr="001B02FE">
              <w:rPr>
                <w:rFonts w:eastAsia="Times New Roman" w:cstheme="minorHAnsi"/>
                <w:b/>
                <w:sz w:val="20"/>
                <w:szCs w:val="20"/>
              </w:rPr>
              <w:t>Net tax assets/ (liabilities)</w:t>
            </w:r>
          </w:p>
        </w:tc>
        <w:tc>
          <w:tcPr>
            <w:tcW w:w="1189" w:type="dxa"/>
            <w:tcBorders>
              <w:top w:val="single" w:sz="8" w:space="0" w:color="auto"/>
              <w:bottom w:val="single" w:sz="8" w:space="0" w:color="auto"/>
            </w:tcBorders>
            <w:vAlign w:val="center"/>
          </w:tcPr>
          <w:p w14:paraId="61C2DC77" w14:textId="77777777" w:rsidR="00DA54F3" w:rsidRPr="001B02FE" w:rsidRDefault="00DA54F3" w:rsidP="00A535DB">
            <w:pPr>
              <w:keepNext/>
              <w:tabs>
                <w:tab w:val="decimal" w:pos="983"/>
              </w:tabs>
              <w:spacing w:after="0" w:line="240" w:lineRule="auto"/>
              <w:outlineLvl w:val="0"/>
              <w:rPr>
                <w:rFonts w:eastAsia="Times New Roman" w:cstheme="minorHAnsi"/>
                <w:b/>
                <w:sz w:val="20"/>
                <w:szCs w:val="20"/>
              </w:rPr>
            </w:pPr>
            <w:r w:rsidRPr="001B02FE">
              <w:rPr>
                <w:rFonts w:eastAsia="Times New Roman" w:cstheme="minorHAnsi"/>
                <w:b/>
                <w:sz w:val="20"/>
                <w:szCs w:val="20"/>
              </w:rPr>
              <w:t>1,430</w:t>
            </w:r>
          </w:p>
        </w:tc>
        <w:tc>
          <w:tcPr>
            <w:tcW w:w="1189" w:type="dxa"/>
            <w:tcBorders>
              <w:top w:val="single" w:sz="8" w:space="0" w:color="auto"/>
              <w:bottom w:val="single" w:sz="8" w:space="0" w:color="auto"/>
            </w:tcBorders>
            <w:vAlign w:val="center"/>
          </w:tcPr>
          <w:p w14:paraId="0B909EAB" w14:textId="77777777" w:rsidR="00DA54F3" w:rsidRPr="001B02FE" w:rsidRDefault="00DA54F3" w:rsidP="00A535DB">
            <w:pPr>
              <w:keepNext/>
              <w:tabs>
                <w:tab w:val="decimal" w:pos="983"/>
              </w:tabs>
              <w:spacing w:after="0" w:line="240" w:lineRule="auto"/>
              <w:outlineLvl w:val="0"/>
              <w:rPr>
                <w:rFonts w:eastAsia="Times New Roman" w:cstheme="minorHAnsi"/>
                <w:b/>
                <w:sz w:val="20"/>
                <w:szCs w:val="20"/>
              </w:rPr>
            </w:pPr>
            <w:r w:rsidRPr="001B02FE">
              <w:rPr>
                <w:rFonts w:eastAsia="Times New Roman" w:cstheme="minorHAnsi"/>
                <w:b/>
                <w:sz w:val="20"/>
                <w:szCs w:val="20"/>
              </w:rPr>
              <w:t>(2,461)</w:t>
            </w:r>
          </w:p>
        </w:tc>
        <w:tc>
          <w:tcPr>
            <w:tcW w:w="1189" w:type="dxa"/>
            <w:tcBorders>
              <w:top w:val="single" w:sz="8" w:space="0" w:color="auto"/>
              <w:bottom w:val="single" w:sz="8" w:space="0" w:color="auto"/>
            </w:tcBorders>
            <w:vAlign w:val="center"/>
          </w:tcPr>
          <w:p w14:paraId="4623CD01" w14:textId="77777777" w:rsidR="00DA54F3" w:rsidRPr="001B02FE" w:rsidRDefault="00DA54F3" w:rsidP="00A535DB">
            <w:pPr>
              <w:keepNext/>
              <w:tabs>
                <w:tab w:val="decimal" w:pos="983"/>
              </w:tabs>
              <w:spacing w:after="0" w:line="240" w:lineRule="auto"/>
              <w:outlineLvl w:val="0"/>
              <w:rPr>
                <w:rFonts w:eastAsia="Times New Roman" w:cstheme="minorHAnsi"/>
                <w:b/>
                <w:sz w:val="20"/>
                <w:szCs w:val="20"/>
              </w:rPr>
            </w:pPr>
            <w:r w:rsidRPr="001B02FE">
              <w:rPr>
                <w:rFonts w:eastAsia="Times New Roman" w:cstheme="minorHAnsi"/>
                <w:b/>
                <w:sz w:val="20"/>
                <w:szCs w:val="20"/>
              </w:rPr>
              <w:t>(1,031)</w:t>
            </w:r>
          </w:p>
        </w:tc>
        <w:tc>
          <w:tcPr>
            <w:tcW w:w="1304" w:type="dxa"/>
            <w:tcBorders>
              <w:top w:val="single" w:sz="8" w:space="0" w:color="auto"/>
              <w:bottom w:val="single" w:sz="8" w:space="0" w:color="auto"/>
            </w:tcBorders>
            <w:vAlign w:val="center"/>
          </w:tcPr>
          <w:p w14:paraId="667C72C2" w14:textId="77777777" w:rsidR="00DA54F3" w:rsidRPr="001B02FE" w:rsidRDefault="00DA54F3" w:rsidP="00A535DB">
            <w:pPr>
              <w:keepNext/>
              <w:tabs>
                <w:tab w:val="decimal" w:pos="983"/>
              </w:tabs>
              <w:spacing w:after="0" w:line="240" w:lineRule="auto"/>
              <w:outlineLvl w:val="0"/>
              <w:rPr>
                <w:rFonts w:eastAsia="Times New Roman" w:cstheme="minorHAnsi"/>
                <w:b/>
                <w:sz w:val="20"/>
                <w:szCs w:val="20"/>
              </w:rPr>
            </w:pPr>
            <w:r w:rsidRPr="001B02FE">
              <w:rPr>
                <w:rFonts w:eastAsia="Times New Roman" w:cstheme="minorHAnsi"/>
                <w:b/>
                <w:sz w:val="20"/>
                <w:szCs w:val="20"/>
              </w:rPr>
              <w:t>119</w:t>
            </w:r>
          </w:p>
        </w:tc>
      </w:tr>
    </w:tbl>
    <w:p w14:paraId="192F881C" w14:textId="77777777" w:rsidR="00DA54F3" w:rsidRPr="001B02FE" w:rsidRDefault="00DA54F3" w:rsidP="00DA54F3">
      <w:pPr>
        <w:spacing w:after="0" w:line="240" w:lineRule="auto"/>
        <w:jc w:val="both"/>
        <w:rPr>
          <w:rFonts w:eastAsia="Times New Roman" w:cstheme="minorHAnsi"/>
          <w:sz w:val="20"/>
          <w:szCs w:val="20"/>
          <w:highlight w:val="red"/>
        </w:rPr>
      </w:pPr>
    </w:p>
    <w:p w14:paraId="4F85482D" w14:textId="77777777" w:rsidR="00DA54F3" w:rsidRPr="001B02FE" w:rsidRDefault="00DA54F3" w:rsidP="00DA54F3">
      <w:pPr>
        <w:spacing w:after="0" w:line="240" w:lineRule="auto"/>
        <w:jc w:val="both"/>
        <w:rPr>
          <w:rFonts w:eastAsia="Times New Roman" w:cstheme="minorHAnsi"/>
          <w:i/>
          <w:sz w:val="20"/>
          <w:szCs w:val="20"/>
        </w:rPr>
      </w:pPr>
    </w:p>
    <w:p w14:paraId="472ED46B" w14:textId="77777777" w:rsidR="00DA54F3" w:rsidRPr="001B02FE" w:rsidRDefault="00DA54F3" w:rsidP="00DA54F3">
      <w:pPr>
        <w:spacing w:after="0" w:line="240" w:lineRule="auto"/>
        <w:jc w:val="both"/>
        <w:rPr>
          <w:rFonts w:eastAsia="Times New Roman" w:cstheme="minorHAnsi"/>
          <w:i/>
          <w:sz w:val="20"/>
          <w:szCs w:val="20"/>
        </w:rPr>
      </w:pPr>
      <w:r w:rsidRPr="001B02FE">
        <w:rPr>
          <w:rFonts w:eastAsia="Times New Roman" w:cstheme="minorHAnsi"/>
          <w:i/>
          <w:sz w:val="20"/>
          <w:szCs w:val="20"/>
        </w:rPr>
        <w:t>Recoverability of deferred tax asset:</w:t>
      </w:r>
    </w:p>
    <w:p w14:paraId="6A97E030" w14:textId="737C591E" w:rsidR="00DA54F3" w:rsidRPr="001B02FE" w:rsidRDefault="00DA54F3" w:rsidP="00DA54F3">
      <w:pPr>
        <w:rPr>
          <w:rFonts w:eastAsia="Times New Roman" w:cstheme="minorHAnsi"/>
          <w:sz w:val="20"/>
          <w:szCs w:val="20"/>
        </w:rPr>
      </w:pPr>
      <w:r w:rsidRPr="001B02FE">
        <w:rPr>
          <w:rFonts w:cstheme="minorHAnsi"/>
          <w:noProof/>
          <w:sz w:val="20"/>
          <w:szCs w:val="20"/>
          <w:lang w:eastAsia="en-GB"/>
        </w:rPr>
        <w:t>SiS (Science in Sport) Limited</w:t>
      </w:r>
      <w:r w:rsidRPr="001B02FE">
        <w:rPr>
          <w:rFonts w:eastAsia="Times New Roman" w:cstheme="minorHAnsi"/>
          <w:sz w:val="20"/>
          <w:szCs w:val="20"/>
        </w:rPr>
        <w:t xml:space="preserve"> has a cumulative assessed tax loss of £14.1m as at 31 December 2019 , this has increased by £4m from 2018. The loss is split into pre 1 April 2017 losses of £4.2m and post 1 April 2017 losses of £9.9m.  SiS will utilise its assessed tax losses in the coming years against future expected profits. Assessed losses from before 1st April 2017 can only be used against SiS (Science in Sport) </w:t>
      </w:r>
      <w:r w:rsidR="00294C0A">
        <w:rPr>
          <w:rFonts w:eastAsia="Times New Roman" w:cstheme="minorHAnsi"/>
          <w:sz w:val="20"/>
          <w:szCs w:val="20"/>
        </w:rPr>
        <w:t xml:space="preserve">Limited </w:t>
      </w:r>
      <w:r w:rsidRPr="001B02FE">
        <w:rPr>
          <w:rFonts w:eastAsia="Times New Roman" w:cstheme="minorHAnsi"/>
          <w:sz w:val="20"/>
          <w:szCs w:val="20"/>
        </w:rPr>
        <w:t>profit whereas assessed tax  losses from after 1st April 2017 can be used to offset the future profits from SiS (Science in Sport)</w:t>
      </w:r>
      <w:r w:rsidR="00294C0A">
        <w:rPr>
          <w:rFonts w:eastAsia="Times New Roman" w:cstheme="minorHAnsi"/>
          <w:sz w:val="20"/>
          <w:szCs w:val="20"/>
        </w:rPr>
        <w:t xml:space="preserve"> Limited</w:t>
      </w:r>
      <w:r w:rsidRPr="001B02FE">
        <w:rPr>
          <w:rFonts w:eastAsia="Times New Roman" w:cstheme="minorHAnsi"/>
          <w:sz w:val="20"/>
          <w:szCs w:val="20"/>
        </w:rPr>
        <w:t xml:space="preserve"> and PhD Nutrition Ltd profits .</w:t>
      </w:r>
    </w:p>
    <w:p w14:paraId="2BDB0C2D" w14:textId="05A703DC" w:rsidR="000C6EB1" w:rsidRPr="001B02FE" w:rsidRDefault="001B4A7C" w:rsidP="001649FF">
      <w:pPr>
        <w:spacing w:after="0" w:line="240" w:lineRule="auto"/>
        <w:jc w:val="both"/>
        <w:rPr>
          <w:rFonts w:cstheme="minorHAnsi"/>
          <w:sz w:val="20"/>
          <w:szCs w:val="20"/>
        </w:rPr>
      </w:pPr>
      <w:bookmarkStart w:id="5" w:name="LastPage"/>
      <w:bookmarkEnd w:id="3"/>
      <w:bookmarkEnd w:id="4"/>
      <w:bookmarkEnd w:id="5"/>
      <w:r w:rsidRPr="001B4A7C">
        <w:rPr>
          <w:rFonts w:cstheme="minorHAnsi"/>
          <w:sz w:val="20"/>
          <w:szCs w:val="20"/>
        </w:rPr>
        <w:t>Tax losses have been recognised to the extent that they are considered recoverable based on short term forecast taxable profits.</w:t>
      </w:r>
    </w:p>
    <w:sectPr w:rsidR="000C6EB1" w:rsidRPr="001B02FE" w:rsidSect="001B02FE">
      <w:pgSz w:w="11906" w:h="16838"/>
      <w:pgMar w:top="709"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DB5DD" w14:textId="77777777" w:rsidR="00524257" w:rsidRDefault="00524257" w:rsidP="00BB6D83">
      <w:pPr>
        <w:spacing w:after="0" w:line="240" w:lineRule="auto"/>
      </w:pPr>
      <w:r>
        <w:separator/>
      </w:r>
    </w:p>
  </w:endnote>
  <w:endnote w:type="continuationSeparator" w:id="0">
    <w:p w14:paraId="67A66026" w14:textId="77777777" w:rsidR="00524257" w:rsidRDefault="00524257" w:rsidP="00BB6D83">
      <w:pPr>
        <w:spacing w:after="0" w:line="240" w:lineRule="auto"/>
      </w:pPr>
      <w:r>
        <w:continuationSeparator/>
      </w:r>
    </w:p>
  </w:endnote>
  <w:endnote w:type="continuationNotice" w:id="1">
    <w:p w14:paraId="0D847B59" w14:textId="77777777" w:rsidR="00524257" w:rsidRDefault="00524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venir LT Std 35 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B1E3" w14:textId="4A03D45F" w:rsidR="002A183C" w:rsidRDefault="002A183C">
    <w:pPr>
      <w:pStyle w:val="Footer"/>
      <w:jc w:val="center"/>
    </w:pPr>
  </w:p>
  <w:p w14:paraId="10CF9210" w14:textId="77777777" w:rsidR="002A183C" w:rsidRDefault="002A1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16EF1" w14:textId="77777777" w:rsidR="00524257" w:rsidRDefault="00524257" w:rsidP="00BB6D83">
      <w:pPr>
        <w:spacing w:after="0" w:line="240" w:lineRule="auto"/>
      </w:pPr>
      <w:r>
        <w:separator/>
      </w:r>
    </w:p>
  </w:footnote>
  <w:footnote w:type="continuationSeparator" w:id="0">
    <w:p w14:paraId="3C3BD56A" w14:textId="77777777" w:rsidR="00524257" w:rsidRDefault="00524257" w:rsidP="00BB6D83">
      <w:pPr>
        <w:spacing w:after="0" w:line="240" w:lineRule="auto"/>
      </w:pPr>
      <w:r>
        <w:continuationSeparator/>
      </w:r>
    </w:p>
  </w:footnote>
  <w:footnote w:type="continuationNotice" w:id="1">
    <w:p w14:paraId="171B9A22" w14:textId="77777777" w:rsidR="00524257" w:rsidRDefault="005242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92D1" w14:textId="540ACF6B" w:rsidR="002A183C" w:rsidRPr="001B02FE" w:rsidRDefault="002A183C" w:rsidP="001B0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5687" w14:textId="0CBCA817" w:rsidR="002A183C" w:rsidRPr="001B02FE" w:rsidRDefault="002A183C" w:rsidP="001B0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C0485"/>
    <w:multiLevelType w:val="hybridMultilevel"/>
    <w:tmpl w:val="3BC2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960F3"/>
    <w:multiLevelType w:val="hybridMultilevel"/>
    <w:tmpl w:val="166A5452"/>
    <w:lvl w:ilvl="0" w:tplc="BB9608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92DEE"/>
    <w:multiLevelType w:val="hybridMultilevel"/>
    <w:tmpl w:val="9BF6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E766B"/>
    <w:multiLevelType w:val="hybridMultilevel"/>
    <w:tmpl w:val="CCF2FC7E"/>
    <w:lvl w:ilvl="0" w:tplc="46C8E280">
      <w:start w:val="1"/>
      <w:numFmt w:val="bullet"/>
      <w:pStyle w:val="Style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F5F8C"/>
    <w:multiLevelType w:val="hybridMultilevel"/>
    <w:tmpl w:val="22EE4E9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6B7C52"/>
    <w:multiLevelType w:val="hybridMultilevel"/>
    <w:tmpl w:val="34BC772A"/>
    <w:lvl w:ilvl="0" w:tplc="8A10332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16A53"/>
    <w:multiLevelType w:val="hybridMultilevel"/>
    <w:tmpl w:val="A2D43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B074A6"/>
    <w:multiLevelType w:val="hybridMultilevel"/>
    <w:tmpl w:val="52AE6EA4"/>
    <w:lvl w:ilvl="0" w:tplc="4CD61FE0">
      <w:numFmt w:val="bullet"/>
      <w:lvlText w:val="-"/>
      <w:lvlJc w:val="left"/>
      <w:pPr>
        <w:ind w:left="720" w:hanging="360"/>
      </w:pPr>
      <w:rPr>
        <w:rFonts w:ascii="Century" w:eastAsia="Times New Roman" w:hAnsi="Century" w:cs="Times New Roman"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014E5"/>
    <w:multiLevelType w:val="hybridMultilevel"/>
    <w:tmpl w:val="EF60F27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5721D"/>
    <w:multiLevelType w:val="hybridMultilevel"/>
    <w:tmpl w:val="2E38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F60A7"/>
    <w:multiLevelType w:val="hybridMultilevel"/>
    <w:tmpl w:val="51FEF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0478B3"/>
    <w:multiLevelType w:val="hybridMultilevel"/>
    <w:tmpl w:val="7ED4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D7306"/>
    <w:multiLevelType w:val="hybridMultilevel"/>
    <w:tmpl w:val="D576B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9338D"/>
    <w:multiLevelType w:val="singleLevel"/>
    <w:tmpl w:val="DB9CB41A"/>
    <w:lvl w:ilvl="0">
      <w:start w:val="1"/>
      <w:numFmt w:val="bullet"/>
      <w:pStyle w:val="ListBullet"/>
      <w:lvlText w:val="•"/>
      <w:lvlJc w:val="left"/>
      <w:pPr>
        <w:tabs>
          <w:tab w:val="num" w:pos="709"/>
        </w:tabs>
        <w:ind w:left="709" w:hanging="709"/>
      </w:pPr>
      <w:rPr>
        <w:rFonts w:ascii="Times New Roman" w:hAnsi="Times New Roman" w:hint="default"/>
      </w:rPr>
    </w:lvl>
  </w:abstractNum>
  <w:abstractNum w:abstractNumId="14" w15:restartNumberingAfterBreak="0">
    <w:nsid w:val="310C4E30"/>
    <w:multiLevelType w:val="hybridMultilevel"/>
    <w:tmpl w:val="8C2E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06542"/>
    <w:multiLevelType w:val="hybridMultilevel"/>
    <w:tmpl w:val="B11C00FA"/>
    <w:lvl w:ilvl="0" w:tplc="71E60614">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D65E08"/>
    <w:multiLevelType w:val="multilevel"/>
    <w:tmpl w:val="40D47E26"/>
    <w:lvl w:ilvl="0">
      <w:start w:val="1"/>
      <w:numFmt w:val="decimal"/>
      <w:pStyle w:val="SHHeading1"/>
      <w:lvlText w:val="%1"/>
      <w:lvlJc w:val="left"/>
      <w:pPr>
        <w:tabs>
          <w:tab w:val="num" w:pos="720"/>
        </w:tabs>
        <w:ind w:left="720" w:hanging="720"/>
      </w:pPr>
      <w:rPr>
        <w:rFonts w:hint="default"/>
      </w:rPr>
    </w:lvl>
    <w:lvl w:ilvl="1">
      <w:start w:val="1"/>
      <w:numFmt w:val="decimal"/>
      <w:pStyle w:val="SHHeading2"/>
      <w:lvlText w:val="%1.%2"/>
      <w:lvlJc w:val="left"/>
      <w:pPr>
        <w:tabs>
          <w:tab w:val="num" w:pos="720"/>
        </w:tabs>
        <w:ind w:left="720" w:hanging="720"/>
      </w:pPr>
      <w:rPr>
        <w:rFonts w:hint="default"/>
        <w:b w:val="0"/>
        <w:i w:val="0"/>
      </w:rPr>
    </w:lvl>
    <w:lvl w:ilvl="2">
      <w:start w:val="1"/>
      <w:numFmt w:val="decimal"/>
      <w:pStyle w:val="SHHeading3"/>
      <w:lvlText w:val="%1.%2.%3"/>
      <w:lvlJc w:val="left"/>
      <w:pPr>
        <w:tabs>
          <w:tab w:val="num" w:pos="1440"/>
        </w:tabs>
        <w:ind w:left="1440" w:hanging="720"/>
      </w:pPr>
      <w:rPr>
        <w:rFonts w:hint="default"/>
      </w:rPr>
    </w:lvl>
    <w:lvl w:ilvl="3">
      <w:start w:val="1"/>
      <w:numFmt w:val="lowerLetter"/>
      <w:pStyle w:val="SHHeading4"/>
      <w:lvlText w:val="%4)"/>
      <w:lvlJc w:val="left"/>
      <w:pPr>
        <w:tabs>
          <w:tab w:val="num" w:pos="2160"/>
        </w:tabs>
        <w:ind w:left="2160" w:hanging="720"/>
      </w:pPr>
      <w:rPr>
        <w:rFonts w:hint="default"/>
      </w:rPr>
    </w:lvl>
    <w:lvl w:ilvl="4">
      <w:start w:val="1"/>
      <w:numFmt w:val="lowerRoman"/>
      <w:pStyle w:val="SHHeading5"/>
      <w:lvlText w:val="%5"/>
      <w:lvlJc w:val="left"/>
      <w:pPr>
        <w:tabs>
          <w:tab w:val="num" w:pos="2880"/>
        </w:tabs>
        <w:ind w:left="2880" w:hanging="720"/>
      </w:pPr>
      <w:rPr>
        <w:rFonts w:hint="default"/>
      </w:rPr>
    </w:lvl>
    <w:lvl w:ilvl="5">
      <w:start w:val="1"/>
      <w:numFmt w:val="none"/>
      <w:pStyle w:val="Heading-PLEASEUSESHSTYLES"/>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86251EB"/>
    <w:multiLevelType w:val="hybridMultilevel"/>
    <w:tmpl w:val="C62039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E6382"/>
    <w:multiLevelType w:val="hybridMultilevel"/>
    <w:tmpl w:val="DBFE4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72D7E"/>
    <w:multiLevelType w:val="hybridMultilevel"/>
    <w:tmpl w:val="C78E0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3D0261"/>
    <w:multiLevelType w:val="hybridMultilevel"/>
    <w:tmpl w:val="8EF00116"/>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5406C6"/>
    <w:multiLevelType w:val="hybridMultilevel"/>
    <w:tmpl w:val="622E0BCE"/>
    <w:lvl w:ilvl="0" w:tplc="C1DED2BE">
      <w:start w:val="1"/>
      <w:numFmt w:val="decimal"/>
      <w:lvlText w:val="(%1)"/>
      <w:lvlJc w:val="left"/>
      <w:pPr>
        <w:ind w:left="720" w:hanging="360"/>
      </w:pPr>
      <w:rPr>
        <w:rFonts w:hint="default"/>
        <w:b w:val="0"/>
        <w:sz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3456A5"/>
    <w:multiLevelType w:val="hybridMultilevel"/>
    <w:tmpl w:val="C362FE26"/>
    <w:lvl w:ilvl="0" w:tplc="8A10332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98519A"/>
    <w:multiLevelType w:val="hybridMultilevel"/>
    <w:tmpl w:val="0686AD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FA15EF"/>
    <w:multiLevelType w:val="hybridMultilevel"/>
    <w:tmpl w:val="735AB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86169"/>
    <w:multiLevelType w:val="hybridMultilevel"/>
    <w:tmpl w:val="8F288D5E"/>
    <w:lvl w:ilvl="0" w:tplc="08090001">
      <w:start w:val="1"/>
      <w:numFmt w:val="bullet"/>
      <w:lvlText w:val=""/>
      <w:lvlJc w:val="left"/>
      <w:pPr>
        <w:ind w:left="587" w:hanging="360"/>
      </w:pPr>
      <w:rPr>
        <w:rFonts w:ascii="Symbol" w:hAnsi="Symbol" w:hint="default"/>
      </w:rPr>
    </w:lvl>
    <w:lvl w:ilvl="1" w:tplc="08090003">
      <w:start w:val="1"/>
      <w:numFmt w:val="bullet"/>
      <w:lvlText w:val="o"/>
      <w:lvlJc w:val="left"/>
      <w:pPr>
        <w:ind w:left="1307" w:hanging="360"/>
      </w:pPr>
      <w:rPr>
        <w:rFonts w:ascii="Courier New" w:hAnsi="Courier New" w:cs="Courier New" w:hint="default"/>
      </w:rPr>
    </w:lvl>
    <w:lvl w:ilvl="2" w:tplc="08090005">
      <w:start w:val="1"/>
      <w:numFmt w:val="bullet"/>
      <w:lvlText w:val=""/>
      <w:lvlJc w:val="left"/>
      <w:pPr>
        <w:ind w:left="2027" w:hanging="360"/>
      </w:pPr>
      <w:rPr>
        <w:rFonts w:ascii="Wingdings" w:hAnsi="Wingdings" w:hint="default"/>
      </w:rPr>
    </w:lvl>
    <w:lvl w:ilvl="3" w:tplc="08090001">
      <w:start w:val="1"/>
      <w:numFmt w:val="bullet"/>
      <w:lvlText w:val=""/>
      <w:lvlJc w:val="left"/>
      <w:pPr>
        <w:ind w:left="2747" w:hanging="360"/>
      </w:pPr>
      <w:rPr>
        <w:rFonts w:ascii="Symbol" w:hAnsi="Symbol" w:hint="default"/>
      </w:rPr>
    </w:lvl>
    <w:lvl w:ilvl="4" w:tplc="08090003">
      <w:start w:val="1"/>
      <w:numFmt w:val="bullet"/>
      <w:lvlText w:val="o"/>
      <w:lvlJc w:val="left"/>
      <w:pPr>
        <w:ind w:left="3467" w:hanging="360"/>
      </w:pPr>
      <w:rPr>
        <w:rFonts w:ascii="Courier New" w:hAnsi="Courier New" w:cs="Courier New" w:hint="default"/>
      </w:rPr>
    </w:lvl>
    <w:lvl w:ilvl="5" w:tplc="08090005">
      <w:start w:val="1"/>
      <w:numFmt w:val="bullet"/>
      <w:lvlText w:val=""/>
      <w:lvlJc w:val="left"/>
      <w:pPr>
        <w:ind w:left="4187" w:hanging="360"/>
      </w:pPr>
      <w:rPr>
        <w:rFonts w:ascii="Wingdings" w:hAnsi="Wingdings" w:hint="default"/>
      </w:rPr>
    </w:lvl>
    <w:lvl w:ilvl="6" w:tplc="08090001">
      <w:start w:val="1"/>
      <w:numFmt w:val="bullet"/>
      <w:lvlText w:val=""/>
      <w:lvlJc w:val="left"/>
      <w:pPr>
        <w:ind w:left="4907" w:hanging="360"/>
      </w:pPr>
      <w:rPr>
        <w:rFonts w:ascii="Symbol" w:hAnsi="Symbol" w:hint="default"/>
      </w:rPr>
    </w:lvl>
    <w:lvl w:ilvl="7" w:tplc="08090003">
      <w:start w:val="1"/>
      <w:numFmt w:val="bullet"/>
      <w:lvlText w:val="o"/>
      <w:lvlJc w:val="left"/>
      <w:pPr>
        <w:ind w:left="5627" w:hanging="360"/>
      </w:pPr>
      <w:rPr>
        <w:rFonts w:ascii="Courier New" w:hAnsi="Courier New" w:cs="Courier New" w:hint="default"/>
      </w:rPr>
    </w:lvl>
    <w:lvl w:ilvl="8" w:tplc="08090005">
      <w:start w:val="1"/>
      <w:numFmt w:val="bullet"/>
      <w:lvlText w:val=""/>
      <w:lvlJc w:val="left"/>
      <w:pPr>
        <w:ind w:left="6347" w:hanging="360"/>
      </w:pPr>
      <w:rPr>
        <w:rFonts w:ascii="Wingdings" w:hAnsi="Wingdings" w:hint="default"/>
      </w:rPr>
    </w:lvl>
  </w:abstractNum>
  <w:abstractNum w:abstractNumId="26" w15:restartNumberingAfterBreak="0">
    <w:nsid w:val="47986715"/>
    <w:multiLevelType w:val="hybridMultilevel"/>
    <w:tmpl w:val="01F43622"/>
    <w:lvl w:ilvl="0" w:tplc="451E1FC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727E53"/>
    <w:multiLevelType w:val="hybridMultilevel"/>
    <w:tmpl w:val="00A2AE8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8" w15:restartNumberingAfterBreak="0">
    <w:nsid w:val="497E3021"/>
    <w:multiLevelType w:val="hybridMultilevel"/>
    <w:tmpl w:val="9E442B88"/>
    <w:lvl w:ilvl="0" w:tplc="31C258F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05753F"/>
    <w:multiLevelType w:val="hybridMultilevel"/>
    <w:tmpl w:val="9B7C7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C7393A"/>
    <w:multiLevelType w:val="hybridMultilevel"/>
    <w:tmpl w:val="41721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4B2424"/>
    <w:multiLevelType w:val="hybridMultilevel"/>
    <w:tmpl w:val="5218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C21107"/>
    <w:multiLevelType w:val="hybridMultilevel"/>
    <w:tmpl w:val="8370F91A"/>
    <w:lvl w:ilvl="0" w:tplc="542441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FE6B31"/>
    <w:multiLevelType w:val="hybridMultilevel"/>
    <w:tmpl w:val="04767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9043A98"/>
    <w:multiLevelType w:val="hybridMultilevel"/>
    <w:tmpl w:val="9C5282C2"/>
    <w:lvl w:ilvl="0" w:tplc="8A10332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D699B"/>
    <w:multiLevelType w:val="hybridMultilevel"/>
    <w:tmpl w:val="6658DF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1F0805"/>
    <w:multiLevelType w:val="hybridMultilevel"/>
    <w:tmpl w:val="9E3A9EE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64C51885"/>
    <w:multiLevelType w:val="hybridMultilevel"/>
    <w:tmpl w:val="CEDA0F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A3708F"/>
    <w:multiLevelType w:val="hybridMultilevel"/>
    <w:tmpl w:val="D67ABA2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9" w15:restartNumberingAfterBreak="0">
    <w:nsid w:val="66B73873"/>
    <w:multiLevelType w:val="hybridMultilevel"/>
    <w:tmpl w:val="F006C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926A54"/>
    <w:multiLevelType w:val="hybridMultilevel"/>
    <w:tmpl w:val="CA7CAF22"/>
    <w:lvl w:ilvl="0" w:tplc="C40EFB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A922BBF"/>
    <w:multiLevelType w:val="hybridMultilevel"/>
    <w:tmpl w:val="0172BE8A"/>
    <w:lvl w:ilvl="0" w:tplc="71E6061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6B056C57"/>
    <w:multiLevelType w:val="hybridMultilevel"/>
    <w:tmpl w:val="04B6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E47A7B"/>
    <w:multiLevelType w:val="hybridMultilevel"/>
    <w:tmpl w:val="04B2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AF5CA6"/>
    <w:multiLevelType w:val="multilevel"/>
    <w:tmpl w:val="400A36C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B9F4B6A"/>
    <w:multiLevelType w:val="hybridMultilevel"/>
    <w:tmpl w:val="D010A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D3EC9"/>
    <w:multiLevelType w:val="hybridMultilevel"/>
    <w:tmpl w:val="CB86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9"/>
  </w:num>
  <w:num w:numId="4">
    <w:abstractNumId w:val="17"/>
  </w:num>
  <w:num w:numId="5">
    <w:abstractNumId w:val="5"/>
  </w:num>
  <w:num w:numId="6">
    <w:abstractNumId w:val="45"/>
  </w:num>
  <w:num w:numId="7">
    <w:abstractNumId w:val="33"/>
  </w:num>
  <w:num w:numId="8">
    <w:abstractNumId w:val="27"/>
  </w:num>
  <w:num w:numId="9">
    <w:abstractNumId w:val="14"/>
  </w:num>
  <w:num w:numId="10">
    <w:abstractNumId w:val="13"/>
  </w:num>
  <w:num w:numId="11">
    <w:abstractNumId w:val="3"/>
  </w:num>
  <w:num w:numId="12">
    <w:abstractNumId w:val="39"/>
  </w:num>
  <w:num w:numId="13">
    <w:abstractNumId w:val="21"/>
  </w:num>
  <w:num w:numId="14">
    <w:abstractNumId w:val="16"/>
  </w:num>
  <w:num w:numId="15">
    <w:abstractNumId w:val="15"/>
  </w:num>
  <w:num w:numId="16">
    <w:abstractNumId w:val="43"/>
  </w:num>
  <w:num w:numId="17">
    <w:abstractNumId w:val="22"/>
  </w:num>
  <w:num w:numId="18">
    <w:abstractNumId w:val="34"/>
  </w:num>
  <w:num w:numId="19">
    <w:abstractNumId w:val="42"/>
  </w:num>
  <w:num w:numId="20">
    <w:abstractNumId w:val="31"/>
  </w:num>
  <w:num w:numId="21">
    <w:abstractNumId w:val="26"/>
  </w:num>
  <w:num w:numId="22">
    <w:abstractNumId w:val="11"/>
  </w:num>
  <w:num w:numId="23">
    <w:abstractNumId w:val="40"/>
  </w:num>
  <w:num w:numId="24">
    <w:abstractNumId w:val="38"/>
  </w:num>
  <w:num w:numId="25">
    <w:abstractNumId w:val="36"/>
  </w:num>
  <w:num w:numId="26">
    <w:abstractNumId w:val="10"/>
  </w:num>
  <w:num w:numId="27">
    <w:abstractNumId w:val="46"/>
  </w:num>
  <w:num w:numId="28">
    <w:abstractNumId w:val="18"/>
  </w:num>
  <w:num w:numId="29">
    <w:abstractNumId w:val="35"/>
  </w:num>
  <w:num w:numId="30">
    <w:abstractNumId w:val="23"/>
  </w:num>
  <w:num w:numId="31">
    <w:abstractNumId w:val="9"/>
  </w:num>
  <w:num w:numId="32">
    <w:abstractNumId w:val="24"/>
  </w:num>
  <w:num w:numId="33">
    <w:abstractNumId w:val="4"/>
  </w:num>
  <w:num w:numId="34">
    <w:abstractNumId w:val="7"/>
  </w:num>
  <w:num w:numId="35">
    <w:abstractNumId w:val="30"/>
  </w:num>
  <w:num w:numId="36">
    <w:abstractNumId w:val="28"/>
  </w:num>
  <w:num w:numId="37">
    <w:abstractNumId w:val="20"/>
  </w:num>
  <w:num w:numId="38">
    <w:abstractNumId w:val="32"/>
  </w:num>
  <w:num w:numId="39">
    <w:abstractNumId w:val="41"/>
  </w:num>
  <w:num w:numId="40">
    <w:abstractNumId w:val="25"/>
  </w:num>
  <w:num w:numId="41">
    <w:abstractNumId w:val="6"/>
  </w:num>
  <w:num w:numId="42">
    <w:abstractNumId w:val="2"/>
  </w:num>
  <w:num w:numId="43">
    <w:abstractNumId w:val="37"/>
  </w:num>
  <w:num w:numId="44">
    <w:abstractNumId w:val="12"/>
  </w:num>
  <w:num w:numId="45">
    <w:abstractNumId w:val="19"/>
  </w:num>
  <w:num w:numId="46">
    <w:abstractNumId w:val="44"/>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649C3"/>
    <w:rsid w:val="00005D3A"/>
    <w:rsid w:val="000072D4"/>
    <w:rsid w:val="00042B1D"/>
    <w:rsid w:val="000479E1"/>
    <w:rsid w:val="00053677"/>
    <w:rsid w:val="00054290"/>
    <w:rsid w:val="00081AFB"/>
    <w:rsid w:val="00082CC6"/>
    <w:rsid w:val="000B47EE"/>
    <w:rsid w:val="000C6EB1"/>
    <w:rsid w:val="000D2143"/>
    <w:rsid w:val="000D3B38"/>
    <w:rsid w:val="000E3646"/>
    <w:rsid w:val="000E7111"/>
    <w:rsid w:val="001079C5"/>
    <w:rsid w:val="00116D6C"/>
    <w:rsid w:val="00117339"/>
    <w:rsid w:val="001523B9"/>
    <w:rsid w:val="00156CD2"/>
    <w:rsid w:val="00163278"/>
    <w:rsid w:val="001649C3"/>
    <w:rsid w:val="001649FF"/>
    <w:rsid w:val="00195426"/>
    <w:rsid w:val="001A2003"/>
    <w:rsid w:val="001A2134"/>
    <w:rsid w:val="001B02FE"/>
    <w:rsid w:val="001B4A7C"/>
    <w:rsid w:val="001C1206"/>
    <w:rsid w:val="001C6236"/>
    <w:rsid w:val="001D30B8"/>
    <w:rsid w:val="001E34D1"/>
    <w:rsid w:val="002052BE"/>
    <w:rsid w:val="00206F59"/>
    <w:rsid w:val="0021765D"/>
    <w:rsid w:val="00220D3F"/>
    <w:rsid w:val="00243C3C"/>
    <w:rsid w:val="00252945"/>
    <w:rsid w:val="002606D7"/>
    <w:rsid w:val="002642FF"/>
    <w:rsid w:val="00271AFA"/>
    <w:rsid w:val="00272900"/>
    <w:rsid w:val="00294C0A"/>
    <w:rsid w:val="002A183C"/>
    <w:rsid w:val="002B19A5"/>
    <w:rsid w:val="002E469A"/>
    <w:rsid w:val="002F6059"/>
    <w:rsid w:val="00303D94"/>
    <w:rsid w:val="00304F4C"/>
    <w:rsid w:val="00315A60"/>
    <w:rsid w:val="003618A5"/>
    <w:rsid w:val="00364701"/>
    <w:rsid w:val="0037237F"/>
    <w:rsid w:val="003822B9"/>
    <w:rsid w:val="00382721"/>
    <w:rsid w:val="003A455D"/>
    <w:rsid w:val="003F2555"/>
    <w:rsid w:val="00423334"/>
    <w:rsid w:val="00446EEB"/>
    <w:rsid w:val="00462764"/>
    <w:rsid w:val="004A7387"/>
    <w:rsid w:val="004E32E8"/>
    <w:rsid w:val="004E4E43"/>
    <w:rsid w:val="00524257"/>
    <w:rsid w:val="0053375B"/>
    <w:rsid w:val="00534FE0"/>
    <w:rsid w:val="00540FAF"/>
    <w:rsid w:val="00546138"/>
    <w:rsid w:val="00562610"/>
    <w:rsid w:val="005905E9"/>
    <w:rsid w:val="005D2CE8"/>
    <w:rsid w:val="00614774"/>
    <w:rsid w:val="00645468"/>
    <w:rsid w:val="00647876"/>
    <w:rsid w:val="006574B9"/>
    <w:rsid w:val="00660431"/>
    <w:rsid w:val="006714D6"/>
    <w:rsid w:val="00676295"/>
    <w:rsid w:val="006A52E1"/>
    <w:rsid w:val="006C0EBA"/>
    <w:rsid w:val="006C190E"/>
    <w:rsid w:val="006C2DB0"/>
    <w:rsid w:val="006D71A8"/>
    <w:rsid w:val="006E6741"/>
    <w:rsid w:val="006F4536"/>
    <w:rsid w:val="0070247A"/>
    <w:rsid w:val="00715987"/>
    <w:rsid w:val="00720EC5"/>
    <w:rsid w:val="0072274D"/>
    <w:rsid w:val="00724601"/>
    <w:rsid w:val="00741D57"/>
    <w:rsid w:val="00750F19"/>
    <w:rsid w:val="00755A32"/>
    <w:rsid w:val="007803C3"/>
    <w:rsid w:val="00797592"/>
    <w:rsid w:val="00797952"/>
    <w:rsid w:val="007A27C9"/>
    <w:rsid w:val="007B2A5F"/>
    <w:rsid w:val="00807D8A"/>
    <w:rsid w:val="00851DC6"/>
    <w:rsid w:val="00884E0A"/>
    <w:rsid w:val="0090152A"/>
    <w:rsid w:val="009033E5"/>
    <w:rsid w:val="00911FA0"/>
    <w:rsid w:val="00913E83"/>
    <w:rsid w:val="00917F49"/>
    <w:rsid w:val="00931DA5"/>
    <w:rsid w:val="009716FA"/>
    <w:rsid w:val="009731D8"/>
    <w:rsid w:val="0099583D"/>
    <w:rsid w:val="009A1809"/>
    <w:rsid w:val="009B2BF5"/>
    <w:rsid w:val="009B61F0"/>
    <w:rsid w:val="009D6ABF"/>
    <w:rsid w:val="009E0DFB"/>
    <w:rsid w:val="00A236CE"/>
    <w:rsid w:val="00A25AB1"/>
    <w:rsid w:val="00A33782"/>
    <w:rsid w:val="00A45089"/>
    <w:rsid w:val="00A535DB"/>
    <w:rsid w:val="00A72C48"/>
    <w:rsid w:val="00A82B05"/>
    <w:rsid w:val="00AA6FFC"/>
    <w:rsid w:val="00AB68CF"/>
    <w:rsid w:val="00AC1934"/>
    <w:rsid w:val="00AC3733"/>
    <w:rsid w:val="00AD33EC"/>
    <w:rsid w:val="00B9678C"/>
    <w:rsid w:val="00BB2BFE"/>
    <w:rsid w:val="00BB6D83"/>
    <w:rsid w:val="00C033D9"/>
    <w:rsid w:val="00C0383E"/>
    <w:rsid w:val="00C41693"/>
    <w:rsid w:val="00C45B12"/>
    <w:rsid w:val="00C67976"/>
    <w:rsid w:val="00C72DC0"/>
    <w:rsid w:val="00C805A8"/>
    <w:rsid w:val="00C82228"/>
    <w:rsid w:val="00CB1093"/>
    <w:rsid w:val="00CB1892"/>
    <w:rsid w:val="00CD6DB7"/>
    <w:rsid w:val="00CF03FC"/>
    <w:rsid w:val="00CF7830"/>
    <w:rsid w:val="00D01D44"/>
    <w:rsid w:val="00D06226"/>
    <w:rsid w:val="00D07405"/>
    <w:rsid w:val="00D229A1"/>
    <w:rsid w:val="00D2313B"/>
    <w:rsid w:val="00D37357"/>
    <w:rsid w:val="00D547A9"/>
    <w:rsid w:val="00D77019"/>
    <w:rsid w:val="00D920A3"/>
    <w:rsid w:val="00DA54F3"/>
    <w:rsid w:val="00DD28E1"/>
    <w:rsid w:val="00DD5461"/>
    <w:rsid w:val="00E3491A"/>
    <w:rsid w:val="00E43C30"/>
    <w:rsid w:val="00E5647D"/>
    <w:rsid w:val="00E72F7B"/>
    <w:rsid w:val="00E74C34"/>
    <w:rsid w:val="00E758B3"/>
    <w:rsid w:val="00EB5876"/>
    <w:rsid w:val="00ED7D53"/>
    <w:rsid w:val="00F07F37"/>
    <w:rsid w:val="00F10F0C"/>
    <w:rsid w:val="00F30CB6"/>
    <w:rsid w:val="00F428B0"/>
    <w:rsid w:val="00F86B51"/>
    <w:rsid w:val="00FA091D"/>
    <w:rsid w:val="00FA6A73"/>
    <w:rsid w:val="00FB1638"/>
    <w:rsid w:val="00FD410C"/>
    <w:rsid w:val="00FF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C6D5"/>
  <w15:chartTrackingRefBased/>
  <w15:docId w15:val="{A6EC4128-A604-421C-8182-ABED208F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A54F3"/>
    <w:pPr>
      <w:keepNext/>
      <w:spacing w:after="0" w:line="240" w:lineRule="auto"/>
      <w:jc w:val="both"/>
      <w:outlineLvl w:val="0"/>
    </w:pPr>
    <w:rPr>
      <w:rFonts w:ascii="Arial" w:eastAsia="Times New Roman" w:hAnsi="Arial" w:cs="Times New Roman"/>
      <w:b/>
      <w:bCs/>
      <w:sz w:val="20"/>
      <w:szCs w:val="20"/>
    </w:rPr>
  </w:style>
  <w:style w:type="paragraph" w:styleId="Heading2">
    <w:name w:val="heading 2"/>
    <w:basedOn w:val="Normal"/>
    <w:next w:val="Normal"/>
    <w:link w:val="Heading2Char"/>
    <w:uiPriority w:val="1"/>
    <w:qFormat/>
    <w:rsid w:val="00DA54F3"/>
    <w:pPr>
      <w:keepNext/>
      <w:tabs>
        <w:tab w:val="decimal" w:pos="5760"/>
        <w:tab w:val="decimal" w:pos="7560"/>
      </w:tabs>
      <w:spacing w:after="0" w:line="240" w:lineRule="auto"/>
      <w:jc w:val="both"/>
      <w:outlineLvl w:val="1"/>
    </w:pPr>
    <w:rPr>
      <w:rFonts w:ascii="Arial" w:eastAsia="Times New Roman" w:hAnsi="Arial" w:cs="Times New Roman"/>
      <w:b/>
      <w:bCs/>
      <w:sz w:val="20"/>
      <w:szCs w:val="20"/>
    </w:rPr>
  </w:style>
  <w:style w:type="paragraph" w:styleId="Heading3">
    <w:name w:val="heading 3"/>
    <w:basedOn w:val="Normal"/>
    <w:next w:val="Normal"/>
    <w:link w:val="Heading3Char"/>
    <w:uiPriority w:val="1"/>
    <w:qFormat/>
    <w:rsid w:val="00DA54F3"/>
    <w:pPr>
      <w:keepNext/>
      <w:spacing w:after="0" w:line="240" w:lineRule="auto"/>
      <w:jc w:val="both"/>
      <w:outlineLvl w:val="2"/>
    </w:pPr>
    <w:rPr>
      <w:rFonts w:ascii="Arial" w:eastAsia="Times New Roman" w:hAnsi="Arial" w:cs="Times New Roman"/>
      <w:sz w:val="32"/>
      <w:szCs w:val="20"/>
    </w:rPr>
  </w:style>
  <w:style w:type="paragraph" w:styleId="Heading4">
    <w:name w:val="heading 4"/>
    <w:basedOn w:val="Normal"/>
    <w:next w:val="Normal"/>
    <w:link w:val="Heading4Char"/>
    <w:uiPriority w:val="1"/>
    <w:qFormat/>
    <w:rsid w:val="00DA54F3"/>
    <w:pPr>
      <w:keepNext/>
      <w:tabs>
        <w:tab w:val="decimal" w:pos="5940"/>
        <w:tab w:val="decimal" w:pos="7380"/>
      </w:tabs>
      <w:spacing w:after="0" w:line="240" w:lineRule="auto"/>
      <w:jc w:val="center"/>
      <w:outlineLvl w:val="3"/>
    </w:pPr>
    <w:rPr>
      <w:rFonts w:ascii="Arial" w:eastAsia="Times New Roman" w:hAnsi="Arial" w:cs="Times New Roman"/>
      <w:b/>
      <w:sz w:val="20"/>
      <w:szCs w:val="20"/>
    </w:rPr>
  </w:style>
  <w:style w:type="paragraph" w:styleId="Heading5">
    <w:name w:val="heading 5"/>
    <w:basedOn w:val="Normal"/>
    <w:next w:val="Normal"/>
    <w:link w:val="Heading5Char"/>
    <w:uiPriority w:val="1"/>
    <w:qFormat/>
    <w:rsid w:val="00DA54F3"/>
    <w:pPr>
      <w:keepNext/>
      <w:tabs>
        <w:tab w:val="left" w:pos="3240"/>
        <w:tab w:val="decimal" w:pos="4680"/>
        <w:tab w:val="decimal" w:pos="5940"/>
        <w:tab w:val="decimal" w:pos="7110"/>
        <w:tab w:val="decimal" w:pos="8370"/>
      </w:tabs>
      <w:spacing w:after="0" w:line="240" w:lineRule="auto"/>
      <w:ind w:right="47"/>
      <w:jc w:val="both"/>
      <w:outlineLvl w:val="4"/>
    </w:pPr>
    <w:rPr>
      <w:rFonts w:ascii="Arial" w:eastAsia="Times New Roman" w:hAnsi="Arial" w:cs="Times New Roman"/>
      <w:b/>
      <w:bCs/>
      <w:sz w:val="20"/>
      <w:szCs w:val="20"/>
    </w:rPr>
  </w:style>
  <w:style w:type="paragraph" w:styleId="Heading6">
    <w:name w:val="heading 6"/>
    <w:basedOn w:val="Normal"/>
    <w:next w:val="Normal"/>
    <w:link w:val="Heading6Char"/>
    <w:qFormat/>
    <w:rsid w:val="00DA54F3"/>
    <w:pPr>
      <w:keepNext/>
      <w:tabs>
        <w:tab w:val="left" w:pos="4410"/>
        <w:tab w:val="decimal" w:pos="5940"/>
        <w:tab w:val="decimal" w:pos="7920"/>
      </w:tabs>
      <w:spacing w:after="0" w:line="240" w:lineRule="auto"/>
      <w:ind w:left="360" w:right="47" w:hanging="360"/>
      <w:jc w:val="both"/>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DA54F3"/>
    <w:pPr>
      <w:keepNext/>
      <w:tabs>
        <w:tab w:val="left" w:pos="900"/>
        <w:tab w:val="right" w:pos="4680"/>
        <w:tab w:val="decimal" w:pos="5940"/>
        <w:tab w:val="decimal" w:pos="7920"/>
      </w:tabs>
      <w:spacing w:after="0" w:line="240" w:lineRule="auto"/>
      <w:ind w:left="540" w:right="47" w:hanging="540"/>
      <w:jc w:val="both"/>
      <w:outlineLvl w:val="6"/>
    </w:pPr>
    <w:rPr>
      <w:rFonts w:ascii="Arial" w:eastAsia="Times New Roman" w:hAnsi="Arial" w:cs="Times New Roman"/>
      <w:b/>
      <w:bCs/>
      <w:sz w:val="20"/>
      <w:szCs w:val="20"/>
    </w:rPr>
  </w:style>
  <w:style w:type="paragraph" w:styleId="Heading8">
    <w:name w:val="heading 8"/>
    <w:basedOn w:val="Normal"/>
    <w:next w:val="Normal"/>
    <w:link w:val="Heading8Char"/>
    <w:qFormat/>
    <w:rsid w:val="00DA54F3"/>
    <w:pPr>
      <w:keepNext/>
      <w:tabs>
        <w:tab w:val="left" w:pos="900"/>
        <w:tab w:val="decimal" w:pos="4050"/>
        <w:tab w:val="decimal" w:pos="5220"/>
        <w:tab w:val="decimal" w:pos="6840"/>
        <w:tab w:val="decimal" w:pos="8370"/>
      </w:tabs>
      <w:spacing w:after="0" w:line="240" w:lineRule="auto"/>
      <w:ind w:left="540" w:right="47" w:hanging="540"/>
      <w:jc w:val="both"/>
      <w:outlineLvl w:val="7"/>
    </w:pPr>
    <w:rPr>
      <w:rFonts w:ascii="Arial" w:eastAsia="Times New Roman" w:hAnsi="Arial" w:cs="Times New Roman"/>
      <w:b/>
      <w:bCs/>
      <w:sz w:val="20"/>
      <w:szCs w:val="20"/>
    </w:rPr>
  </w:style>
  <w:style w:type="paragraph" w:styleId="Heading9">
    <w:name w:val="heading 9"/>
    <w:basedOn w:val="Normal"/>
    <w:next w:val="Normal"/>
    <w:link w:val="Heading9Char"/>
    <w:qFormat/>
    <w:rsid w:val="00DA54F3"/>
    <w:pPr>
      <w:keepNext/>
      <w:tabs>
        <w:tab w:val="left" w:pos="900"/>
        <w:tab w:val="decimal" w:pos="4320"/>
        <w:tab w:val="decimal" w:pos="5580"/>
        <w:tab w:val="decimal" w:pos="6930"/>
        <w:tab w:val="decimal" w:pos="8370"/>
      </w:tabs>
      <w:spacing w:after="0" w:line="240" w:lineRule="auto"/>
      <w:ind w:left="540" w:right="47"/>
      <w:jc w:val="both"/>
      <w:outlineLvl w:val="8"/>
    </w:pPr>
    <w:rPr>
      <w:rFonts w:ascii="Arial" w:eastAsia="Times New Roman" w:hAnsi="Arial"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49C3"/>
    <w:pPr>
      <w:spacing w:after="0" w:line="240" w:lineRule="auto"/>
    </w:pPr>
  </w:style>
  <w:style w:type="paragraph" w:styleId="ListParagraph">
    <w:name w:val="List Paragraph"/>
    <w:basedOn w:val="Normal"/>
    <w:uiPriority w:val="34"/>
    <w:qFormat/>
    <w:rsid w:val="00A25AB1"/>
    <w:pPr>
      <w:ind w:left="720"/>
      <w:contextualSpacing/>
    </w:pPr>
  </w:style>
  <w:style w:type="paragraph" w:styleId="FootnoteText">
    <w:name w:val="footnote text"/>
    <w:basedOn w:val="Normal"/>
    <w:link w:val="FootnoteTextChar"/>
    <w:semiHidden/>
    <w:unhideWhenUsed/>
    <w:rsid w:val="00BB6D83"/>
    <w:pPr>
      <w:spacing w:after="0" w:line="240" w:lineRule="auto"/>
    </w:pPr>
    <w:rPr>
      <w:sz w:val="20"/>
      <w:szCs w:val="20"/>
    </w:rPr>
  </w:style>
  <w:style w:type="character" w:customStyle="1" w:styleId="FootnoteTextChar">
    <w:name w:val="Footnote Text Char"/>
    <w:basedOn w:val="DefaultParagraphFont"/>
    <w:link w:val="FootnoteText"/>
    <w:semiHidden/>
    <w:rsid w:val="00BB6D83"/>
    <w:rPr>
      <w:sz w:val="20"/>
      <w:szCs w:val="20"/>
    </w:rPr>
  </w:style>
  <w:style w:type="character" w:styleId="FootnoteReference">
    <w:name w:val="footnote reference"/>
    <w:basedOn w:val="DefaultParagraphFont"/>
    <w:semiHidden/>
    <w:unhideWhenUsed/>
    <w:rsid w:val="00BB6D83"/>
    <w:rPr>
      <w:vertAlign w:val="superscript"/>
    </w:rPr>
  </w:style>
  <w:style w:type="table" w:styleId="TableGrid">
    <w:name w:val="Table Grid"/>
    <w:basedOn w:val="TableNormal"/>
    <w:uiPriority w:val="39"/>
    <w:rsid w:val="00220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220D3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rPr>
  </w:style>
  <w:style w:type="character" w:styleId="Hyperlink">
    <w:name w:val="Hyperlink"/>
    <w:basedOn w:val="DefaultParagraphFont"/>
    <w:rsid w:val="00220D3F"/>
    <w:rPr>
      <w:color w:val="0563C1" w:themeColor="hyperlink"/>
      <w:u w:val="single"/>
    </w:rPr>
  </w:style>
  <w:style w:type="paragraph" w:customStyle="1" w:styleId="cc">
    <w:name w:val="cc"/>
    <w:basedOn w:val="Normal"/>
    <w:rsid w:val="00220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h">
    <w:name w:val="bh"/>
    <w:basedOn w:val="DefaultParagraphFont"/>
    <w:rsid w:val="00220D3F"/>
  </w:style>
  <w:style w:type="paragraph" w:customStyle="1" w:styleId="by">
    <w:name w:val="by"/>
    <w:basedOn w:val="Normal"/>
    <w:rsid w:val="00220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q">
    <w:name w:val="aq"/>
    <w:basedOn w:val="DefaultParagraphFont"/>
    <w:rsid w:val="00220D3F"/>
  </w:style>
  <w:style w:type="paragraph" w:customStyle="1" w:styleId="bz">
    <w:name w:val="bz"/>
    <w:basedOn w:val="Normal"/>
    <w:rsid w:val="00220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v">
    <w:name w:val="av"/>
    <w:basedOn w:val="DefaultParagraphFont"/>
    <w:rsid w:val="00220D3F"/>
  </w:style>
  <w:style w:type="paragraph" w:styleId="BalloonText">
    <w:name w:val="Balloon Text"/>
    <w:basedOn w:val="Normal"/>
    <w:link w:val="BalloonTextChar"/>
    <w:semiHidden/>
    <w:unhideWhenUsed/>
    <w:rsid w:val="00AA6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A6FFC"/>
    <w:rPr>
      <w:rFonts w:ascii="Segoe UI" w:hAnsi="Segoe UI" w:cs="Segoe UI"/>
      <w:sz w:val="18"/>
      <w:szCs w:val="18"/>
    </w:rPr>
  </w:style>
  <w:style w:type="character" w:styleId="CommentReference">
    <w:name w:val="annotation reference"/>
    <w:basedOn w:val="DefaultParagraphFont"/>
    <w:uiPriority w:val="99"/>
    <w:unhideWhenUsed/>
    <w:rsid w:val="000B47EE"/>
    <w:rPr>
      <w:sz w:val="16"/>
      <w:szCs w:val="16"/>
    </w:rPr>
  </w:style>
  <w:style w:type="paragraph" w:styleId="CommentText">
    <w:name w:val="annotation text"/>
    <w:basedOn w:val="Normal"/>
    <w:link w:val="CommentTextChar"/>
    <w:uiPriority w:val="99"/>
    <w:unhideWhenUsed/>
    <w:rsid w:val="000B47EE"/>
    <w:pPr>
      <w:spacing w:line="240" w:lineRule="auto"/>
    </w:pPr>
    <w:rPr>
      <w:sz w:val="20"/>
      <w:szCs w:val="20"/>
    </w:rPr>
  </w:style>
  <w:style w:type="character" w:customStyle="1" w:styleId="CommentTextChar">
    <w:name w:val="Comment Text Char"/>
    <w:basedOn w:val="DefaultParagraphFont"/>
    <w:link w:val="CommentText"/>
    <w:uiPriority w:val="99"/>
    <w:rsid w:val="000B47EE"/>
    <w:rPr>
      <w:sz w:val="20"/>
      <w:szCs w:val="20"/>
    </w:rPr>
  </w:style>
  <w:style w:type="paragraph" w:styleId="CommentSubject">
    <w:name w:val="annotation subject"/>
    <w:basedOn w:val="CommentText"/>
    <w:next w:val="CommentText"/>
    <w:link w:val="CommentSubjectChar"/>
    <w:uiPriority w:val="99"/>
    <w:semiHidden/>
    <w:unhideWhenUsed/>
    <w:rsid w:val="000B47EE"/>
    <w:rPr>
      <w:b/>
      <w:bCs/>
    </w:rPr>
  </w:style>
  <w:style w:type="character" w:customStyle="1" w:styleId="CommentSubjectChar">
    <w:name w:val="Comment Subject Char"/>
    <w:basedOn w:val="CommentTextChar"/>
    <w:link w:val="CommentSubject"/>
    <w:uiPriority w:val="99"/>
    <w:semiHidden/>
    <w:rsid w:val="000B47EE"/>
    <w:rPr>
      <w:b/>
      <w:bCs/>
      <w:sz w:val="20"/>
      <w:szCs w:val="20"/>
    </w:rPr>
  </w:style>
  <w:style w:type="paragraph" w:styleId="Revision">
    <w:name w:val="Revision"/>
    <w:hidden/>
    <w:uiPriority w:val="99"/>
    <w:semiHidden/>
    <w:rsid w:val="000B47EE"/>
    <w:pPr>
      <w:spacing w:after="0" w:line="240" w:lineRule="auto"/>
    </w:pPr>
  </w:style>
  <w:style w:type="character" w:customStyle="1" w:styleId="Heading1Char">
    <w:name w:val="Heading 1 Char"/>
    <w:basedOn w:val="DefaultParagraphFont"/>
    <w:link w:val="Heading1"/>
    <w:uiPriority w:val="1"/>
    <w:rsid w:val="00DA54F3"/>
    <w:rPr>
      <w:rFonts w:ascii="Arial" w:eastAsia="Times New Roman" w:hAnsi="Arial" w:cs="Times New Roman"/>
      <w:b/>
      <w:bCs/>
      <w:sz w:val="20"/>
      <w:szCs w:val="20"/>
    </w:rPr>
  </w:style>
  <w:style w:type="character" w:customStyle="1" w:styleId="Heading2Char">
    <w:name w:val="Heading 2 Char"/>
    <w:basedOn w:val="DefaultParagraphFont"/>
    <w:link w:val="Heading2"/>
    <w:uiPriority w:val="1"/>
    <w:rsid w:val="00DA54F3"/>
    <w:rPr>
      <w:rFonts w:ascii="Arial" w:eastAsia="Times New Roman" w:hAnsi="Arial" w:cs="Times New Roman"/>
      <w:b/>
      <w:bCs/>
      <w:sz w:val="20"/>
      <w:szCs w:val="20"/>
    </w:rPr>
  </w:style>
  <w:style w:type="character" w:customStyle="1" w:styleId="Heading3Char">
    <w:name w:val="Heading 3 Char"/>
    <w:basedOn w:val="DefaultParagraphFont"/>
    <w:link w:val="Heading3"/>
    <w:uiPriority w:val="1"/>
    <w:rsid w:val="00DA54F3"/>
    <w:rPr>
      <w:rFonts w:ascii="Arial" w:eastAsia="Times New Roman" w:hAnsi="Arial" w:cs="Times New Roman"/>
      <w:sz w:val="32"/>
      <w:szCs w:val="20"/>
    </w:rPr>
  </w:style>
  <w:style w:type="character" w:customStyle="1" w:styleId="Heading4Char">
    <w:name w:val="Heading 4 Char"/>
    <w:basedOn w:val="DefaultParagraphFont"/>
    <w:link w:val="Heading4"/>
    <w:uiPriority w:val="1"/>
    <w:rsid w:val="00DA54F3"/>
    <w:rPr>
      <w:rFonts w:ascii="Arial" w:eastAsia="Times New Roman" w:hAnsi="Arial" w:cs="Times New Roman"/>
      <w:b/>
      <w:sz w:val="20"/>
      <w:szCs w:val="20"/>
    </w:rPr>
  </w:style>
  <w:style w:type="character" w:customStyle="1" w:styleId="Heading5Char">
    <w:name w:val="Heading 5 Char"/>
    <w:basedOn w:val="DefaultParagraphFont"/>
    <w:link w:val="Heading5"/>
    <w:uiPriority w:val="1"/>
    <w:rsid w:val="00DA54F3"/>
    <w:rPr>
      <w:rFonts w:ascii="Arial" w:eastAsia="Times New Roman" w:hAnsi="Arial" w:cs="Times New Roman"/>
      <w:b/>
      <w:bCs/>
      <w:sz w:val="20"/>
      <w:szCs w:val="20"/>
    </w:rPr>
  </w:style>
  <w:style w:type="character" w:customStyle="1" w:styleId="Heading6Char">
    <w:name w:val="Heading 6 Char"/>
    <w:basedOn w:val="DefaultParagraphFont"/>
    <w:link w:val="Heading6"/>
    <w:rsid w:val="00DA54F3"/>
    <w:rPr>
      <w:rFonts w:ascii="Arial" w:eastAsia="Times New Roman" w:hAnsi="Arial" w:cs="Times New Roman"/>
      <w:b/>
      <w:sz w:val="20"/>
      <w:szCs w:val="20"/>
    </w:rPr>
  </w:style>
  <w:style w:type="character" w:customStyle="1" w:styleId="Heading7Char">
    <w:name w:val="Heading 7 Char"/>
    <w:basedOn w:val="DefaultParagraphFont"/>
    <w:link w:val="Heading7"/>
    <w:rsid w:val="00DA54F3"/>
    <w:rPr>
      <w:rFonts w:ascii="Arial" w:eastAsia="Times New Roman" w:hAnsi="Arial" w:cs="Times New Roman"/>
      <w:b/>
      <w:bCs/>
      <w:sz w:val="20"/>
      <w:szCs w:val="20"/>
    </w:rPr>
  </w:style>
  <w:style w:type="character" w:customStyle="1" w:styleId="Heading8Char">
    <w:name w:val="Heading 8 Char"/>
    <w:basedOn w:val="DefaultParagraphFont"/>
    <w:link w:val="Heading8"/>
    <w:rsid w:val="00DA54F3"/>
    <w:rPr>
      <w:rFonts w:ascii="Arial" w:eastAsia="Times New Roman" w:hAnsi="Arial" w:cs="Times New Roman"/>
      <w:b/>
      <w:bCs/>
      <w:sz w:val="20"/>
      <w:szCs w:val="20"/>
    </w:rPr>
  </w:style>
  <w:style w:type="character" w:customStyle="1" w:styleId="Heading9Char">
    <w:name w:val="Heading 9 Char"/>
    <w:basedOn w:val="DefaultParagraphFont"/>
    <w:link w:val="Heading9"/>
    <w:rsid w:val="00DA54F3"/>
    <w:rPr>
      <w:rFonts w:ascii="Arial" w:eastAsia="Times New Roman" w:hAnsi="Arial" w:cs="Times New Roman"/>
      <w:b/>
      <w:bCs/>
      <w:sz w:val="20"/>
      <w:szCs w:val="20"/>
    </w:rPr>
  </w:style>
  <w:style w:type="paragraph" w:customStyle="1" w:styleId="ar">
    <w:name w:val="ar"/>
    <w:basedOn w:val="Normal"/>
    <w:rsid w:val="00DA54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3">
    <w:name w:val="Note 3"/>
    <w:basedOn w:val="Normal"/>
    <w:autoRedefine/>
    <w:rsid w:val="00DA54F3"/>
    <w:pPr>
      <w:tabs>
        <w:tab w:val="left" w:pos="567"/>
        <w:tab w:val="decimal" w:pos="5940"/>
        <w:tab w:val="decimal" w:pos="7920"/>
      </w:tabs>
      <w:spacing w:after="0" w:line="240" w:lineRule="auto"/>
      <w:jc w:val="both"/>
      <w:outlineLvl w:val="0"/>
    </w:pPr>
    <w:rPr>
      <w:rFonts w:ascii="Arial" w:eastAsia="Times New Roman" w:hAnsi="Arial" w:cs="Arial"/>
      <w:szCs w:val="20"/>
    </w:rPr>
  </w:style>
  <w:style w:type="paragraph" w:styleId="EnvelopeReturn">
    <w:name w:val="envelope return"/>
    <w:basedOn w:val="Normal"/>
    <w:rsid w:val="00DA54F3"/>
    <w:pPr>
      <w:spacing w:after="0" w:line="240" w:lineRule="auto"/>
      <w:jc w:val="both"/>
    </w:pPr>
    <w:rPr>
      <w:rFonts w:ascii="Arial" w:eastAsia="Times New Roman" w:hAnsi="Arial" w:cs="Times New Roman"/>
      <w:sz w:val="20"/>
      <w:szCs w:val="20"/>
    </w:rPr>
  </w:style>
  <w:style w:type="paragraph" w:customStyle="1" w:styleId="NormalTitle">
    <w:name w:val="Normal Title"/>
    <w:basedOn w:val="Normal"/>
    <w:autoRedefine/>
    <w:rsid w:val="00DA54F3"/>
    <w:pPr>
      <w:spacing w:after="0" w:line="240" w:lineRule="auto"/>
      <w:jc w:val="both"/>
      <w:outlineLvl w:val="0"/>
    </w:pPr>
    <w:rPr>
      <w:rFonts w:ascii="Arial" w:eastAsia="Times New Roman" w:hAnsi="Arial" w:cs="Arial"/>
      <w:b/>
      <w:sz w:val="20"/>
      <w:szCs w:val="20"/>
    </w:rPr>
  </w:style>
  <w:style w:type="character" w:customStyle="1" w:styleId="UnresolvedMention1">
    <w:name w:val="Unresolved Mention1"/>
    <w:basedOn w:val="DefaultParagraphFont"/>
    <w:uiPriority w:val="99"/>
    <w:semiHidden/>
    <w:unhideWhenUsed/>
    <w:rsid w:val="00DA54F3"/>
    <w:rPr>
      <w:color w:val="605E5C"/>
      <w:shd w:val="clear" w:color="auto" w:fill="E1DFDD"/>
    </w:rPr>
  </w:style>
  <w:style w:type="paragraph" w:customStyle="1" w:styleId="bulls">
    <w:name w:val="bulls"/>
    <w:basedOn w:val="Normal"/>
    <w:rsid w:val="00DA54F3"/>
    <w:pPr>
      <w:spacing w:after="0" w:line="240" w:lineRule="auto"/>
      <w:ind w:left="850" w:hanging="425"/>
      <w:jc w:val="both"/>
    </w:pPr>
    <w:rPr>
      <w:rFonts w:ascii="Times New Roman" w:eastAsia="Times New Roman" w:hAnsi="Times New Roman" w:cs="Times New Roman"/>
      <w:sz w:val="20"/>
      <w:szCs w:val="20"/>
    </w:rPr>
  </w:style>
  <w:style w:type="paragraph" w:customStyle="1" w:styleId="Table">
    <w:name w:val="Table"/>
    <w:basedOn w:val="Normal"/>
    <w:rsid w:val="00DA54F3"/>
    <w:pPr>
      <w:spacing w:after="0" w:line="240" w:lineRule="auto"/>
      <w:jc w:val="right"/>
    </w:pPr>
    <w:rPr>
      <w:rFonts w:ascii="Arial" w:eastAsia="Times New Roman" w:hAnsi="Arial" w:cs="Times New Roman"/>
      <w:sz w:val="20"/>
      <w:szCs w:val="20"/>
    </w:rPr>
  </w:style>
  <w:style w:type="paragraph" w:customStyle="1" w:styleId="TT">
    <w:name w:val="TT"/>
    <w:basedOn w:val="Normal"/>
    <w:rsid w:val="00DA54F3"/>
    <w:pPr>
      <w:keepNext/>
      <w:tabs>
        <w:tab w:val="decimal" w:pos="1202"/>
      </w:tabs>
      <w:spacing w:after="0" w:line="301" w:lineRule="exact"/>
      <w:jc w:val="both"/>
      <w:outlineLvl w:val="0"/>
    </w:pPr>
    <w:rPr>
      <w:rFonts w:ascii="Arial" w:eastAsia="Times New Roman" w:hAnsi="Arial" w:cs="Times New Roman"/>
      <w:sz w:val="19"/>
      <w:szCs w:val="20"/>
    </w:rPr>
  </w:style>
  <w:style w:type="paragraph" w:customStyle="1" w:styleId="TH">
    <w:name w:val="TH"/>
    <w:basedOn w:val="Normal"/>
    <w:rsid w:val="00DA54F3"/>
    <w:pPr>
      <w:keepNext/>
      <w:tabs>
        <w:tab w:val="decimal" w:pos="1202"/>
      </w:tabs>
      <w:spacing w:after="0" w:line="240" w:lineRule="atLeast"/>
      <w:jc w:val="both"/>
      <w:outlineLvl w:val="0"/>
    </w:pPr>
    <w:rPr>
      <w:rFonts w:ascii="Arial" w:eastAsia="Times New Roman" w:hAnsi="Arial" w:cs="Times New Roman"/>
      <w:sz w:val="19"/>
      <w:szCs w:val="20"/>
    </w:rPr>
  </w:style>
  <w:style w:type="paragraph" w:customStyle="1" w:styleId="Default">
    <w:name w:val="Default"/>
    <w:rsid w:val="00DA54F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roposalnormaltext">
    <w:name w:val="Proposal normal text"/>
    <w:basedOn w:val="Normal"/>
    <w:link w:val="ProposalnormaltextChar"/>
    <w:rsid w:val="00DA54F3"/>
    <w:pPr>
      <w:spacing w:after="0" w:line="260" w:lineRule="exact"/>
    </w:pPr>
    <w:rPr>
      <w:rFonts w:ascii="Arial" w:eastAsia="Arial" w:hAnsi="Arial" w:cs="Times New Roman"/>
      <w:color w:val="000000"/>
      <w:sz w:val="17"/>
      <w:szCs w:val="17"/>
      <w:lang w:eastAsia="en-GB"/>
    </w:rPr>
  </w:style>
  <w:style w:type="character" w:customStyle="1" w:styleId="ProposalnormaltextChar">
    <w:name w:val="Proposal normal text Char"/>
    <w:link w:val="Proposalnormaltext"/>
    <w:rsid w:val="00DA54F3"/>
    <w:rPr>
      <w:rFonts w:ascii="Arial" w:eastAsia="Arial" w:hAnsi="Arial" w:cs="Times New Roman"/>
      <w:color w:val="000000"/>
      <w:sz w:val="17"/>
      <w:szCs w:val="17"/>
      <w:lang w:eastAsia="en-GB"/>
    </w:rPr>
  </w:style>
  <w:style w:type="paragraph" w:styleId="Header">
    <w:name w:val="header"/>
    <w:basedOn w:val="Normal"/>
    <w:link w:val="HeaderChar"/>
    <w:uiPriority w:val="99"/>
    <w:unhideWhenUsed/>
    <w:rsid w:val="00DA5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4F3"/>
  </w:style>
  <w:style w:type="paragraph" w:styleId="Footer">
    <w:name w:val="footer"/>
    <w:basedOn w:val="Normal"/>
    <w:link w:val="FooterChar"/>
    <w:uiPriority w:val="99"/>
    <w:unhideWhenUsed/>
    <w:rsid w:val="00DA5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4F3"/>
  </w:style>
  <w:style w:type="table" w:customStyle="1" w:styleId="TableGrid1">
    <w:name w:val="Table Grid1"/>
    <w:basedOn w:val="TableNormal"/>
    <w:next w:val="TableGrid"/>
    <w:uiPriority w:val="39"/>
    <w:rsid w:val="00DA54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A54F3"/>
  </w:style>
  <w:style w:type="paragraph" w:styleId="EnvelopeAddress">
    <w:name w:val="envelope address"/>
    <w:basedOn w:val="Normal"/>
    <w:rsid w:val="00DA54F3"/>
    <w:pPr>
      <w:framePr w:w="7920" w:h="1980" w:hRule="exact" w:hSpace="180" w:wrap="auto" w:hAnchor="page" w:xAlign="center" w:yAlign="bottom"/>
      <w:spacing w:after="0" w:line="240" w:lineRule="auto"/>
      <w:ind w:left="2880"/>
      <w:jc w:val="both"/>
    </w:pPr>
    <w:rPr>
      <w:rFonts w:ascii="Arial" w:eastAsia="Times New Roman" w:hAnsi="Arial" w:cs="Times New Roman"/>
      <w:sz w:val="20"/>
      <w:szCs w:val="20"/>
    </w:rPr>
  </w:style>
  <w:style w:type="character" w:styleId="PageNumber">
    <w:name w:val="page number"/>
    <w:basedOn w:val="DefaultParagraphFont"/>
    <w:rsid w:val="00DA54F3"/>
    <w:rPr>
      <w:rFonts w:cs="Times New Roman"/>
    </w:rPr>
  </w:style>
  <w:style w:type="paragraph" w:styleId="BodyText">
    <w:name w:val="Body Text"/>
    <w:basedOn w:val="Normal"/>
    <w:link w:val="BodyTextChar"/>
    <w:rsid w:val="00DA54F3"/>
    <w:pPr>
      <w:tabs>
        <w:tab w:val="decimal" w:pos="5760"/>
        <w:tab w:val="decimal" w:pos="7560"/>
      </w:tabs>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DA54F3"/>
    <w:rPr>
      <w:rFonts w:ascii="Arial" w:eastAsia="Times New Roman" w:hAnsi="Arial" w:cs="Times New Roman"/>
      <w:sz w:val="20"/>
      <w:szCs w:val="20"/>
    </w:rPr>
  </w:style>
  <w:style w:type="paragraph" w:styleId="BlockText">
    <w:name w:val="Block Text"/>
    <w:basedOn w:val="Normal"/>
    <w:rsid w:val="00DA54F3"/>
    <w:pPr>
      <w:tabs>
        <w:tab w:val="left" w:pos="4410"/>
        <w:tab w:val="decimal" w:pos="5940"/>
        <w:tab w:val="decimal" w:pos="7920"/>
      </w:tabs>
      <w:spacing w:after="0" w:line="240" w:lineRule="auto"/>
      <w:ind w:left="360" w:right="47"/>
      <w:jc w:val="both"/>
    </w:pPr>
    <w:rPr>
      <w:rFonts w:ascii="Arial" w:eastAsia="Times New Roman" w:hAnsi="Arial" w:cs="Times New Roman"/>
      <w:sz w:val="20"/>
      <w:szCs w:val="20"/>
    </w:rPr>
  </w:style>
  <w:style w:type="paragraph" w:styleId="BodyTextIndent">
    <w:name w:val="Body Text Indent"/>
    <w:basedOn w:val="Normal"/>
    <w:link w:val="BodyTextIndentChar1"/>
    <w:rsid w:val="00DA54F3"/>
    <w:pPr>
      <w:spacing w:after="0" w:line="240" w:lineRule="auto"/>
      <w:ind w:right="890"/>
      <w:jc w:val="both"/>
    </w:pPr>
    <w:rPr>
      <w:rFonts w:ascii="Arial" w:eastAsia="Times New Roman" w:hAnsi="Arial" w:cs="Times New Roman"/>
      <w:sz w:val="20"/>
      <w:szCs w:val="20"/>
    </w:rPr>
  </w:style>
  <w:style w:type="character" w:customStyle="1" w:styleId="BodyTextIndentChar">
    <w:name w:val="Body Text Indent Char"/>
    <w:basedOn w:val="DefaultParagraphFont"/>
    <w:semiHidden/>
    <w:rsid w:val="00DA54F3"/>
  </w:style>
  <w:style w:type="character" w:customStyle="1" w:styleId="BodyTextIndentChar1">
    <w:name w:val="Body Text Indent Char1"/>
    <w:basedOn w:val="DefaultParagraphFont"/>
    <w:link w:val="BodyTextIndent"/>
    <w:rsid w:val="00DA54F3"/>
    <w:rPr>
      <w:rFonts w:ascii="Arial" w:eastAsia="Times New Roman" w:hAnsi="Arial" w:cs="Times New Roman"/>
      <w:sz w:val="20"/>
      <w:szCs w:val="20"/>
    </w:rPr>
  </w:style>
  <w:style w:type="paragraph" w:styleId="BodyText3">
    <w:name w:val="Body Text 3"/>
    <w:basedOn w:val="Normal"/>
    <w:link w:val="BodyText3Char"/>
    <w:rsid w:val="00DA54F3"/>
    <w:pPr>
      <w:spacing w:after="0" w:line="240" w:lineRule="auto"/>
      <w:ind w:right="98"/>
      <w:jc w:val="both"/>
    </w:pPr>
    <w:rPr>
      <w:rFonts w:ascii="Arial" w:eastAsia="Times New Roman" w:hAnsi="Arial" w:cs="Times New Roman"/>
      <w:sz w:val="20"/>
      <w:szCs w:val="20"/>
    </w:rPr>
  </w:style>
  <w:style w:type="character" w:customStyle="1" w:styleId="BodyText3Char">
    <w:name w:val="Body Text 3 Char"/>
    <w:basedOn w:val="DefaultParagraphFont"/>
    <w:link w:val="BodyText3"/>
    <w:rsid w:val="00DA54F3"/>
    <w:rPr>
      <w:rFonts w:ascii="Arial" w:eastAsia="Times New Roman" w:hAnsi="Arial" w:cs="Times New Roman"/>
      <w:sz w:val="20"/>
      <w:szCs w:val="20"/>
    </w:rPr>
  </w:style>
  <w:style w:type="paragraph" w:styleId="BodyTextIndent2">
    <w:name w:val="Body Text Indent 2"/>
    <w:basedOn w:val="Normal"/>
    <w:link w:val="BodyTextIndent2Char"/>
    <w:rsid w:val="00DA54F3"/>
    <w:pPr>
      <w:spacing w:after="0" w:line="240" w:lineRule="auto"/>
      <w:ind w:left="540"/>
      <w:jc w:val="both"/>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DA54F3"/>
    <w:rPr>
      <w:rFonts w:ascii="Arial" w:eastAsia="Times New Roman" w:hAnsi="Arial" w:cs="Arial"/>
      <w:sz w:val="20"/>
      <w:szCs w:val="20"/>
    </w:rPr>
  </w:style>
  <w:style w:type="paragraph" w:styleId="BodyTextIndent3">
    <w:name w:val="Body Text Indent 3"/>
    <w:basedOn w:val="Normal"/>
    <w:link w:val="BodyTextIndent3Char"/>
    <w:rsid w:val="00DA54F3"/>
    <w:pPr>
      <w:spacing w:after="0" w:line="240" w:lineRule="auto"/>
      <w:jc w:val="both"/>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DA54F3"/>
    <w:rPr>
      <w:rFonts w:ascii="Arial" w:eastAsia="Times New Roman" w:hAnsi="Arial" w:cs="Times New Roman"/>
      <w:sz w:val="20"/>
      <w:szCs w:val="20"/>
    </w:rPr>
  </w:style>
  <w:style w:type="paragraph" w:styleId="ListBullet">
    <w:name w:val="List Bullet"/>
    <w:basedOn w:val="Normal"/>
    <w:autoRedefine/>
    <w:rsid w:val="00DA54F3"/>
    <w:pPr>
      <w:numPr>
        <w:numId w:val="10"/>
      </w:numPr>
      <w:tabs>
        <w:tab w:val="clear" w:pos="709"/>
        <w:tab w:val="num" w:pos="1279"/>
      </w:tabs>
      <w:spacing w:after="0" w:line="240" w:lineRule="auto"/>
      <w:ind w:left="1279"/>
      <w:jc w:val="both"/>
    </w:pPr>
    <w:rPr>
      <w:rFonts w:ascii="Arial" w:eastAsia="Times New Roman" w:hAnsi="Arial" w:cs="Times New Roman"/>
      <w:sz w:val="20"/>
      <w:szCs w:val="20"/>
    </w:rPr>
  </w:style>
  <w:style w:type="paragraph" w:customStyle="1" w:styleId="draft">
    <w:name w:val="draft"/>
    <w:basedOn w:val="Normal"/>
    <w:rsid w:val="00DA54F3"/>
    <w:pPr>
      <w:spacing w:after="0" w:line="240" w:lineRule="auto"/>
      <w:jc w:val="both"/>
    </w:pPr>
    <w:rPr>
      <w:rFonts w:ascii="Arial" w:eastAsia="Times New Roman" w:hAnsi="Arial" w:cs="Times New Roman"/>
      <w:sz w:val="20"/>
      <w:szCs w:val="20"/>
    </w:rPr>
  </w:style>
  <w:style w:type="character" w:styleId="FollowedHyperlink">
    <w:name w:val="FollowedHyperlink"/>
    <w:basedOn w:val="DefaultParagraphFont"/>
    <w:rsid w:val="00DA54F3"/>
    <w:rPr>
      <w:rFonts w:cs="Times New Roman"/>
      <w:color w:val="800080"/>
      <w:u w:val="single"/>
    </w:rPr>
  </w:style>
  <w:style w:type="paragraph" w:styleId="HTMLPreformatted">
    <w:name w:val="HTML Preformatted"/>
    <w:basedOn w:val="Normal"/>
    <w:link w:val="HTMLPreformattedChar"/>
    <w:rsid w:val="00DA5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DA54F3"/>
    <w:rPr>
      <w:rFonts w:ascii="Courier New" w:eastAsia="Times New Roman" w:hAnsi="Courier New" w:cs="Courier New"/>
      <w:sz w:val="20"/>
      <w:szCs w:val="20"/>
      <w:lang w:val="en-US"/>
    </w:rPr>
  </w:style>
  <w:style w:type="table" w:customStyle="1" w:styleId="TableGrid2">
    <w:name w:val="Table Grid2"/>
    <w:basedOn w:val="TableNormal"/>
    <w:next w:val="TableGrid"/>
    <w:uiPriority w:val="39"/>
    <w:rsid w:val="00DA54F3"/>
    <w:pPr>
      <w:spacing w:after="0" w:line="240" w:lineRule="auto"/>
      <w:ind w:left="567"/>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DA54F3"/>
    <w:pPr>
      <w:spacing w:before="100" w:beforeAutospacing="1" w:after="100" w:afterAutospacing="1" w:line="240" w:lineRule="auto"/>
      <w:jc w:val="both"/>
    </w:pPr>
    <w:rPr>
      <w:rFonts w:ascii="Times New Roman" w:eastAsia="Times New Roman" w:hAnsi="Times New Roman" w:cs="Times New Roman"/>
      <w:sz w:val="24"/>
      <w:szCs w:val="24"/>
      <w:lang w:eastAsia="en-GB"/>
    </w:rPr>
  </w:style>
  <w:style w:type="paragraph" w:customStyle="1" w:styleId="T1">
    <w:name w:val="T1"/>
    <w:basedOn w:val="Heading1"/>
    <w:rsid w:val="00DA54F3"/>
    <w:pPr>
      <w:spacing w:after="301" w:line="301" w:lineRule="atLeast"/>
      <w:jc w:val="left"/>
      <w:outlineLvl w:val="9"/>
    </w:pPr>
    <w:rPr>
      <w:b w:val="0"/>
      <w:bCs w:val="0"/>
      <w:sz w:val="19"/>
    </w:rPr>
  </w:style>
  <w:style w:type="paragraph" w:customStyle="1" w:styleId="Thin">
    <w:name w:val="Thin"/>
    <w:basedOn w:val="TT"/>
    <w:next w:val="Normal"/>
    <w:rsid w:val="00DA54F3"/>
    <w:pPr>
      <w:spacing w:line="100" w:lineRule="exact"/>
      <w:outlineLvl w:val="9"/>
    </w:pPr>
    <w:rPr>
      <w:position w:val="4"/>
    </w:rPr>
  </w:style>
  <w:style w:type="paragraph" w:customStyle="1" w:styleId="Thick">
    <w:name w:val="Thick"/>
    <w:basedOn w:val="Thin"/>
    <w:next w:val="Normal"/>
    <w:rsid w:val="00DA54F3"/>
    <w:rPr>
      <w:b/>
      <w:u w:val="thick"/>
    </w:rPr>
  </w:style>
  <w:style w:type="paragraph" w:customStyle="1" w:styleId="TTH">
    <w:name w:val="TT&amp;H"/>
    <w:basedOn w:val="Normal"/>
    <w:rsid w:val="00DA54F3"/>
    <w:pPr>
      <w:keepNext/>
      <w:tabs>
        <w:tab w:val="decimal" w:pos="1202"/>
      </w:tabs>
      <w:spacing w:before="120" w:after="0" w:line="301" w:lineRule="exact"/>
      <w:jc w:val="both"/>
      <w:outlineLvl w:val="0"/>
    </w:pPr>
    <w:rPr>
      <w:rFonts w:ascii="Arial" w:eastAsia="Times New Roman" w:hAnsi="Arial" w:cs="Times New Roman"/>
      <w:sz w:val="19"/>
      <w:szCs w:val="20"/>
    </w:rPr>
  </w:style>
  <w:style w:type="paragraph" w:customStyle="1" w:styleId="Tot">
    <w:name w:val="Tot"/>
    <w:basedOn w:val="TT"/>
    <w:rsid w:val="00DA54F3"/>
    <w:pPr>
      <w:spacing w:line="340" w:lineRule="exact"/>
    </w:pPr>
  </w:style>
  <w:style w:type="paragraph" w:customStyle="1" w:styleId="T2">
    <w:name w:val="T2"/>
    <w:basedOn w:val="T1"/>
    <w:rsid w:val="00DA54F3"/>
    <w:pPr>
      <w:spacing w:after="0"/>
    </w:pPr>
  </w:style>
  <w:style w:type="paragraph" w:styleId="TOC7">
    <w:name w:val="toc 7"/>
    <w:basedOn w:val="Normal"/>
    <w:next w:val="Normal"/>
    <w:autoRedefine/>
    <w:semiHidden/>
    <w:rsid w:val="00DA54F3"/>
    <w:pPr>
      <w:spacing w:after="0" w:line="240" w:lineRule="auto"/>
      <w:ind w:left="1200"/>
      <w:jc w:val="both"/>
    </w:pPr>
    <w:rPr>
      <w:rFonts w:ascii="Arial" w:eastAsia="Times New Roman" w:hAnsi="Arial" w:cs="Times New Roman"/>
      <w:sz w:val="16"/>
      <w:szCs w:val="20"/>
    </w:rPr>
  </w:style>
  <w:style w:type="paragraph" w:styleId="TOC8">
    <w:name w:val="toc 8"/>
    <w:basedOn w:val="Normal"/>
    <w:next w:val="Normal"/>
    <w:autoRedefine/>
    <w:semiHidden/>
    <w:rsid w:val="00DA54F3"/>
    <w:pPr>
      <w:spacing w:after="0" w:line="240" w:lineRule="auto"/>
      <w:ind w:left="1400"/>
      <w:jc w:val="both"/>
    </w:pPr>
    <w:rPr>
      <w:rFonts w:ascii="Arial" w:eastAsia="Times New Roman" w:hAnsi="Arial" w:cs="Times New Roman"/>
      <w:sz w:val="16"/>
      <w:szCs w:val="20"/>
    </w:rPr>
  </w:style>
  <w:style w:type="paragraph" w:customStyle="1" w:styleId="Note2">
    <w:name w:val="Note 2"/>
    <w:basedOn w:val="Heading6"/>
    <w:autoRedefine/>
    <w:rsid w:val="00DA54F3"/>
    <w:pPr>
      <w:ind w:left="0" w:firstLine="0"/>
    </w:pPr>
    <w:rPr>
      <w:rFonts w:cs="Arial"/>
      <w:b w:val="0"/>
    </w:rPr>
  </w:style>
  <w:style w:type="paragraph" w:customStyle="1" w:styleId="Style1">
    <w:name w:val="Style1"/>
    <w:basedOn w:val="Normal"/>
    <w:rsid w:val="00DA54F3"/>
    <w:pPr>
      <w:numPr>
        <w:numId w:val="11"/>
      </w:numPr>
      <w:spacing w:before="100" w:beforeAutospacing="1" w:after="100" w:afterAutospacing="1" w:line="240" w:lineRule="auto"/>
      <w:jc w:val="both"/>
    </w:pPr>
    <w:rPr>
      <w:rFonts w:ascii="Arial" w:eastAsia="Times New Roman" w:hAnsi="Arial" w:cs="Arial"/>
      <w:sz w:val="20"/>
      <w:lang w:val="en-US"/>
    </w:rPr>
  </w:style>
  <w:style w:type="character" w:styleId="Strong">
    <w:name w:val="Strong"/>
    <w:basedOn w:val="DefaultParagraphFont"/>
    <w:qFormat/>
    <w:rsid w:val="00DA54F3"/>
    <w:rPr>
      <w:rFonts w:cs="Times New Roman"/>
      <w:b/>
      <w:bCs/>
    </w:rPr>
  </w:style>
  <w:style w:type="paragraph" w:customStyle="1" w:styleId="note30">
    <w:name w:val="note3"/>
    <w:basedOn w:val="Normal"/>
    <w:rsid w:val="00DA54F3"/>
    <w:pPr>
      <w:spacing w:after="0" w:line="240" w:lineRule="auto"/>
      <w:ind w:right="47"/>
      <w:jc w:val="both"/>
    </w:pPr>
    <w:rPr>
      <w:rFonts w:ascii="Arial" w:eastAsia="Times New Roman" w:hAnsi="Arial" w:cs="Arial"/>
      <w:b/>
      <w:bCs/>
      <w:color w:val="0000FF"/>
      <w:sz w:val="20"/>
      <w:szCs w:val="20"/>
      <w:lang w:val="en-US"/>
    </w:rPr>
  </w:style>
  <w:style w:type="paragraph" w:styleId="DocumentMap">
    <w:name w:val="Document Map"/>
    <w:basedOn w:val="Normal"/>
    <w:link w:val="DocumentMapChar"/>
    <w:uiPriority w:val="99"/>
    <w:semiHidden/>
    <w:unhideWhenUsed/>
    <w:rsid w:val="00DA54F3"/>
    <w:pPr>
      <w:spacing w:after="0" w:line="240" w:lineRule="auto"/>
      <w:jc w:val="both"/>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A54F3"/>
    <w:rPr>
      <w:rFonts w:ascii="Tahoma" w:eastAsia="Times New Roman" w:hAnsi="Tahoma" w:cs="Tahoma"/>
      <w:sz w:val="16"/>
      <w:szCs w:val="16"/>
    </w:rPr>
  </w:style>
  <w:style w:type="paragraph" w:customStyle="1" w:styleId="1">
    <w:name w:val="1"/>
    <w:basedOn w:val="Normal"/>
    <w:rsid w:val="00DA54F3"/>
    <w:pPr>
      <w:spacing w:line="240" w:lineRule="exact"/>
    </w:pPr>
    <w:rPr>
      <w:rFonts w:ascii="Verdana" w:eastAsia="Times New Roman" w:hAnsi="Verdana" w:cs="Times New Roman"/>
      <w:sz w:val="20"/>
      <w:szCs w:val="20"/>
      <w:lang w:val="en-US"/>
    </w:rPr>
  </w:style>
  <w:style w:type="paragraph" w:customStyle="1" w:styleId="indent10">
    <w:name w:val="indent10"/>
    <w:basedOn w:val="Normal"/>
    <w:rsid w:val="00DA54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DA54F3"/>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semiHidden/>
    <w:rsid w:val="00DA54F3"/>
    <w:rPr>
      <w:rFonts w:ascii="Arial" w:eastAsia="Times New Roman" w:hAnsi="Arial" w:cs="Times New Roman"/>
      <w:sz w:val="20"/>
      <w:szCs w:val="20"/>
    </w:rPr>
  </w:style>
  <w:style w:type="paragraph" w:styleId="PlainText">
    <w:name w:val="Plain Text"/>
    <w:basedOn w:val="Normal"/>
    <w:link w:val="PlainTextChar"/>
    <w:uiPriority w:val="99"/>
    <w:unhideWhenUsed/>
    <w:rsid w:val="00DA54F3"/>
    <w:pPr>
      <w:spacing w:after="0" w:line="240" w:lineRule="auto"/>
    </w:pPr>
    <w:rPr>
      <w:rFonts w:ascii="Consolas" w:eastAsia="Times New Roman" w:hAnsi="Consolas" w:cs="Times New Roman"/>
      <w:sz w:val="21"/>
      <w:szCs w:val="21"/>
      <w:lang w:eastAsia="en-GB"/>
    </w:rPr>
  </w:style>
  <w:style w:type="character" w:customStyle="1" w:styleId="PlainTextChar">
    <w:name w:val="Plain Text Char"/>
    <w:basedOn w:val="DefaultParagraphFont"/>
    <w:link w:val="PlainText"/>
    <w:uiPriority w:val="99"/>
    <w:rsid w:val="00DA54F3"/>
    <w:rPr>
      <w:rFonts w:ascii="Consolas" w:eastAsia="Times New Roman" w:hAnsi="Consolas" w:cs="Times New Roman"/>
      <w:sz w:val="21"/>
      <w:szCs w:val="21"/>
      <w:lang w:eastAsia="en-GB"/>
    </w:rPr>
  </w:style>
  <w:style w:type="paragraph" w:customStyle="1" w:styleId="Pa38">
    <w:name w:val="Pa38"/>
    <w:basedOn w:val="Default"/>
    <w:next w:val="Default"/>
    <w:uiPriority w:val="99"/>
    <w:rsid w:val="00DA54F3"/>
    <w:pPr>
      <w:spacing w:line="161" w:lineRule="atLeast"/>
    </w:pPr>
    <w:rPr>
      <w:rFonts w:ascii="Avenir LT Std 35 Light" w:hAnsi="Avenir LT Std 35 Light" w:cs="Times New Roman"/>
      <w:color w:val="auto"/>
      <w:lang w:val="en-US"/>
    </w:rPr>
  </w:style>
  <w:style w:type="character" w:customStyle="1" w:styleId="apple-converted-space">
    <w:name w:val="apple-converted-space"/>
    <w:basedOn w:val="DefaultParagraphFont"/>
    <w:rsid w:val="00DA54F3"/>
  </w:style>
  <w:style w:type="character" w:customStyle="1" w:styleId="ad">
    <w:name w:val="ad"/>
    <w:basedOn w:val="DefaultParagraphFont"/>
    <w:rsid w:val="00DA54F3"/>
  </w:style>
  <w:style w:type="character" w:customStyle="1" w:styleId="ae">
    <w:name w:val="ae"/>
    <w:basedOn w:val="DefaultParagraphFont"/>
    <w:rsid w:val="00DA54F3"/>
  </w:style>
  <w:style w:type="paragraph" w:customStyle="1" w:styleId="bm">
    <w:name w:val="bm"/>
    <w:basedOn w:val="Normal"/>
    <w:rsid w:val="00DA54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o">
    <w:name w:val="ao"/>
    <w:basedOn w:val="DefaultParagraphFont"/>
    <w:rsid w:val="00DA54F3"/>
  </w:style>
  <w:style w:type="character" w:customStyle="1" w:styleId="ap">
    <w:name w:val="ap"/>
    <w:basedOn w:val="DefaultParagraphFont"/>
    <w:rsid w:val="00DA54F3"/>
  </w:style>
  <w:style w:type="paragraph" w:customStyle="1" w:styleId="az">
    <w:name w:val="az"/>
    <w:basedOn w:val="Normal"/>
    <w:rsid w:val="00DA54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
    <w:name w:val="ac"/>
    <w:basedOn w:val="DefaultParagraphFont"/>
    <w:rsid w:val="00DA54F3"/>
  </w:style>
  <w:style w:type="paragraph" w:customStyle="1" w:styleId="aw">
    <w:name w:val="aw"/>
    <w:basedOn w:val="Normal"/>
    <w:rsid w:val="00DA54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f">
    <w:name w:val="af"/>
    <w:basedOn w:val="DefaultParagraphFont"/>
    <w:rsid w:val="00DA54F3"/>
  </w:style>
  <w:style w:type="character" w:customStyle="1" w:styleId="bd">
    <w:name w:val="bd"/>
    <w:basedOn w:val="DefaultParagraphFont"/>
    <w:rsid w:val="00DA54F3"/>
  </w:style>
  <w:style w:type="paragraph" w:customStyle="1" w:styleId="Heading-PLEASEUSESHSTYLES">
    <w:name w:val="Heading - PLEASE USE SH STYLES"/>
    <w:basedOn w:val="Normal"/>
    <w:semiHidden/>
    <w:rsid w:val="00DA54F3"/>
    <w:pPr>
      <w:numPr>
        <w:ilvl w:val="5"/>
        <w:numId w:val="14"/>
      </w:numPr>
      <w:spacing w:after="0" w:line="240" w:lineRule="auto"/>
      <w:jc w:val="both"/>
    </w:pPr>
    <w:rPr>
      <w:rFonts w:ascii="Arial" w:eastAsia="Times New Roman" w:hAnsi="Arial" w:cs="Times New Roman"/>
      <w:sz w:val="20"/>
      <w:szCs w:val="20"/>
    </w:rPr>
  </w:style>
  <w:style w:type="paragraph" w:customStyle="1" w:styleId="SHHeading1">
    <w:name w:val="SH Heading 1"/>
    <w:rsid w:val="00DA54F3"/>
    <w:pPr>
      <w:keepNext/>
      <w:numPr>
        <w:numId w:val="14"/>
      </w:numPr>
      <w:spacing w:after="240" w:line="264" w:lineRule="auto"/>
      <w:jc w:val="both"/>
    </w:pPr>
    <w:rPr>
      <w:rFonts w:ascii="Arial" w:eastAsia="Times New Roman" w:hAnsi="Arial" w:cs="Times New Roman"/>
      <w:b/>
      <w:caps/>
      <w:sz w:val="20"/>
      <w:szCs w:val="20"/>
    </w:rPr>
  </w:style>
  <w:style w:type="paragraph" w:customStyle="1" w:styleId="SHHeading2">
    <w:name w:val="SH Heading 2"/>
    <w:basedOn w:val="Normal"/>
    <w:rsid w:val="00DA54F3"/>
    <w:pPr>
      <w:numPr>
        <w:ilvl w:val="1"/>
        <w:numId w:val="14"/>
      </w:numPr>
      <w:spacing w:after="0" w:line="264" w:lineRule="auto"/>
      <w:jc w:val="both"/>
    </w:pPr>
    <w:rPr>
      <w:rFonts w:ascii="Arial" w:eastAsia="Times New Roman" w:hAnsi="Arial" w:cs="Times New Roman"/>
      <w:sz w:val="20"/>
      <w:szCs w:val="20"/>
    </w:rPr>
  </w:style>
  <w:style w:type="paragraph" w:customStyle="1" w:styleId="SHHeading3">
    <w:name w:val="SH Heading 3"/>
    <w:basedOn w:val="Normal"/>
    <w:rsid w:val="00DA54F3"/>
    <w:pPr>
      <w:numPr>
        <w:ilvl w:val="2"/>
        <w:numId w:val="14"/>
      </w:numPr>
      <w:spacing w:after="0" w:line="264" w:lineRule="auto"/>
      <w:jc w:val="both"/>
    </w:pPr>
    <w:rPr>
      <w:rFonts w:ascii="Arial" w:eastAsia="Times New Roman" w:hAnsi="Arial" w:cs="Times New Roman"/>
      <w:sz w:val="20"/>
      <w:szCs w:val="20"/>
    </w:rPr>
  </w:style>
  <w:style w:type="paragraph" w:customStyle="1" w:styleId="SHHeading4">
    <w:name w:val="SH Heading 4"/>
    <w:basedOn w:val="Normal"/>
    <w:rsid w:val="00DA54F3"/>
    <w:pPr>
      <w:numPr>
        <w:ilvl w:val="3"/>
        <w:numId w:val="14"/>
      </w:numPr>
      <w:spacing w:after="0" w:line="264" w:lineRule="auto"/>
      <w:jc w:val="both"/>
    </w:pPr>
    <w:rPr>
      <w:rFonts w:ascii="Arial" w:eastAsia="Times New Roman" w:hAnsi="Arial" w:cs="Times New Roman"/>
      <w:sz w:val="20"/>
      <w:szCs w:val="20"/>
    </w:rPr>
  </w:style>
  <w:style w:type="paragraph" w:customStyle="1" w:styleId="SHHeading5">
    <w:name w:val="SH Heading 5"/>
    <w:basedOn w:val="Normal"/>
    <w:rsid w:val="00DA54F3"/>
    <w:pPr>
      <w:numPr>
        <w:ilvl w:val="4"/>
        <w:numId w:val="14"/>
      </w:numPr>
      <w:spacing w:after="0" w:line="264" w:lineRule="auto"/>
      <w:jc w:val="both"/>
    </w:pPr>
    <w:rPr>
      <w:rFonts w:ascii="Arial" w:eastAsia="Times New Roman" w:hAnsi="Arial" w:cs="Times New Roman"/>
      <w:sz w:val="20"/>
      <w:szCs w:val="20"/>
    </w:rPr>
  </w:style>
  <w:style w:type="table" w:customStyle="1" w:styleId="TableGrid21">
    <w:name w:val="Table Grid21"/>
    <w:basedOn w:val="TableNormal"/>
    <w:next w:val="TableGrid"/>
    <w:uiPriority w:val="39"/>
    <w:rsid w:val="00DA5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DA5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qFormat/>
    <w:rsid w:val="00DA54F3"/>
    <w:pPr>
      <w:spacing w:after="240" w:line="240" w:lineRule="auto"/>
      <w:ind w:left="709"/>
    </w:pPr>
    <w:rPr>
      <w:rFonts w:ascii="Trebuchet MS" w:eastAsia="Times New Roman" w:hAnsi="Trebuchet MS" w:cs="Times New Roman"/>
      <w:kern w:val="16"/>
      <w:sz w:val="20"/>
      <w:szCs w:val="24"/>
      <w:lang w:eastAsia="en-GB"/>
    </w:rPr>
  </w:style>
  <w:style w:type="paragraph" w:customStyle="1" w:styleId="new-lower-p">
    <w:name w:val="new-lower-p"/>
    <w:basedOn w:val="Normal"/>
    <w:rsid w:val="00DA54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st-lower-p-hanging1">
    <w:name w:val="list-lower-p-hanging1"/>
    <w:basedOn w:val="Normal"/>
    <w:rsid w:val="00DA54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hanging1">
    <w:name w:val="list-hanging1"/>
    <w:basedOn w:val="DefaultParagraphFont"/>
    <w:rsid w:val="00DA54F3"/>
  </w:style>
  <w:style w:type="paragraph" w:customStyle="1" w:styleId="textForfigsover">
    <w:name w:val="_text (For figsover)"/>
    <w:basedOn w:val="Normal"/>
    <w:uiPriority w:val="99"/>
    <w:rsid w:val="00DA54F3"/>
    <w:pPr>
      <w:tabs>
        <w:tab w:val="left" w:pos="227"/>
      </w:tabs>
      <w:suppressAutoHyphens/>
      <w:autoSpaceDE w:val="0"/>
      <w:autoSpaceDN w:val="0"/>
      <w:adjustRightInd w:val="0"/>
      <w:spacing w:after="120" w:line="200" w:lineRule="atLeast"/>
    </w:pPr>
    <w:rPr>
      <w:rFonts w:ascii="Arial" w:hAnsi="Arial" w:cs="Arial"/>
      <w:color w:val="000000"/>
      <w:sz w:val="18"/>
      <w:szCs w:val="18"/>
    </w:rPr>
  </w:style>
  <w:style w:type="paragraph" w:customStyle="1" w:styleId="Subhead2Forfigsover">
    <w:name w:val="_Subhead 2 (For figsover)"/>
    <w:basedOn w:val="Normal"/>
    <w:uiPriority w:val="99"/>
    <w:rsid w:val="00DA54F3"/>
    <w:pPr>
      <w:keepNext/>
      <w:suppressAutoHyphens/>
      <w:autoSpaceDE w:val="0"/>
      <w:autoSpaceDN w:val="0"/>
      <w:adjustRightInd w:val="0"/>
      <w:spacing w:after="40" w:line="200" w:lineRule="atLeast"/>
    </w:pPr>
    <w:rPr>
      <w:rFonts w:ascii="Arial" w:hAnsi="Arial" w:cs="Arial"/>
      <w:b/>
      <w:bCs/>
      <w:i/>
      <w:iCs/>
      <w:color w:val="000000"/>
      <w:sz w:val="18"/>
      <w:szCs w:val="18"/>
    </w:rPr>
  </w:style>
  <w:style w:type="paragraph" w:customStyle="1" w:styleId="tablefigsForfigsover">
    <w:name w:val="_table_figs (For figsover)"/>
    <w:basedOn w:val="Normal"/>
    <w:uiPriority w:val="99"/>
    <w:rsid w:val="00DA54F3"/>
    <w:pPr>
      <w:tabs>
        <w:tab w:val="left" w:pos="227"/>
      </w:tabs>
      <w:suppressAutoHyphens/>
      <w:autoSpaceDE w:val="0"/>
      <w:autoSpaceDN w:val="0"/>
      <w:adjustRightInd w:val="0"/>
      <w:spacing w:after="0" w:line="200" w:lineRule="atLeast"/>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3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enceInSport@buchanan.u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cienceinspor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22F52-A906-469E-BD7F-E045D8046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6424</Words>
  <Characters>36620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Simpson</dc:creator>
  <cp:keywords/>
  <dc:description/>
  <cp:lastModifiedBy>Daniel Henwood</cp:lastModifiedBy>
  <cp:revision>7</cp:revision>
  <cp:lastPrinted>2020-03-17T19:31:00Z</cp:lastPrinted>
  <dcterms:created xsi:type="dcterms:W3CDTF">2020-03-17T21:57:00Z</dcterms:created>
  <dcterms:modified xsi:type="dcterms:W3CDTF">2020-03-17T23:11:00Z</dcterms:modified>
</cp:coreProperties>
</file>